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17 de Febrero de 2023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-ansiedad + -alergia a abejas + -diabetes tipo 2 + -EPOC leve.-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2011: episodio sensitivo con parestesias/hipoestesia de distribución dorsal que duró meses y restituyó casi ad integrum -(2°) abril 2015: recaída de similares características, agregando mínimo componente motor y/o equilibrio. fatiga y termosensibilidad. constipación pertinaz. urgencia urinaria con episodios de incontinencia. trastornos del equilibrio y coordinación con marcha inestable. dolor neuropático tipo fulgurante y Lhermitte. neuritis óptica / disminución de visión central. Evolución: -Buena respuesta clínica, sin brotes recientes y adecuada tolerancia al tratamiento.</w:t>
      </w:r>
    </w:p>
    <w:p>
      <w:r>
        <w:rPr>
          <w:b w:val="0"/>
        </w:rPr>
        <w:t>Datos semiológicos: elementos mínimos de bipiramidalismo + ataxia axial leve + Romberg +.- EDSS: 5.0.-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05/12/22: múltiples imágenes focales cerebrales en la sustancia blanca a predominio periventriculares bilaterales pericallosas (n°≥ 15), con algunas captando Gd IV(+) compatibles con actividad. inactiva. Hallazgos periventricular. sin realce con Gd.</w:t>
      </w:r>
    </w:p>
    <w:p>
      <w:r>
        <w:rPr>
          <w:b w:val="0"/>
        </w:rPr>
        <w:t>-RMN de c/ cervical-dorsal 19/08/19: imágenes focales en médula dorsal T3-T4 y T5-T6 con discreto realce con Gd IV(+). inactiva. Hallazgos medular. sin realce con Gd.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(05/12/22):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2022: Estado=NEDA_RMN; Nuevas_T2=0; Gd+=0.</w:t>
      </w:r>
    </w:p>
    <w:p>
      <w:r>
        <w:rPr>
          <w:b w:val="0"/>
        </w:rPr>
        <w:t>-Año 2023: Estado=Activo; Nuevas_T2=4; Gd+=0.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