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11 de Octubre de 2018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-diabetes tipo 2 + -cervicalgia + -rosácea.-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2022: episodio sensitivo con parestesias/hipoestesia de distribución dorsal que duró meses y restituyó casi ad integrum -(2°) junio 2024: recaída de similares características, agregando mínimo componente motor y/o equilibrio. fatiga y termosensibilidad. constipación pertinaz. disminución de la fuerza con torpeza motora. trastornos del equilibrio y coordinación con marcha inestable. Evolución: -Buena respuesta clínica, sin brotes recientes y adecuada tolerancia al tratamiento.</w:t>
      </w:r>
    </w:p>
    <w:p>
      <w:r>
        <w:rPr>
          <w:b w:val="0"/>
        </w:rPr>
        <w:t>Datos semiológicos: elementos esfinterianos vésico-rectales + ataxia axial leve + síndrome bipiramidal a predominio crural.- EDSS: 2.0.-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negativas.</w:t>
      </w:r>
    </w:p>
    <w:p>
      <w:r>
        <w:rPr>
          <w:b w:val="0"/>
        </w:rPr>
        <w:t>-Detección de Atrofia: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27/05/14: múltiples lesiones periventriculares, algunas hipointensas en T1 (agujeros negros), sin restricción en difusión. inactiva. Hallazgos periventricular. sin realce con Gd.</w:t>
      </w:r>
    </w:p>
    <w:p>
      <w:r>
        <w:rPr>
          <w:b w:val="0"/>
        </w:rPr>
        <w:t>-RMN de c/ cervical-dorsal 02/04/17: imágenes focales en médula dorsal T3-T4 y T5-T6 con discreto realce con Gd IV(+). activa. Hallazgos infratentorial. realza con Gd +.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(27/05/14):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2017: Estado=NEDA_RMN; Nuevas_T2=0; Gd+=0.</w:t>
      </w:r>
    </w:p>
    <w:p>
      <w:r>
        <w:rPr>
          <w:b w:val="0"/>
        </w:rPr>
        <w:t>-Año 2018: Estado=NEDA_RMN; Nuevas_T2=0; Gd+=0.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cobertura / indicación administrativa.</w:t>
      </w:r>
    </w:p>
    <w:p>
      <w:r>
        <w:rPr>
          <w:b w:val="0"/>
        </w:rPr>
        <w:t>Además, tratamiento sintomático: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