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14 de Marzo de 2021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-hipertensión arterial + -diabetes tipo 2.-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2021: episodio sensitivo con parestesias/hipoestesia de distribución dorsal que duró meses y restituyó casi ad integrum -(2°) febrero 2025: recaída de similares características, agregando mínimo componente motor y/o equilibrio. trastornos del equilibrio y coordinación con marcha inestable. dolor neuropático tipo fulgurante y Lhermitte. crisis vertiginosas. disestesias con hiperestesias quemantes. Evolución: -Buena respuesta clínica, sin brotes recientes y adecuada tolerancia al tratamiento.</w:t>
      </w:r>
    </w:p>
    <w:p>
      <w:r>
        <w:rPr>
          <w:b w:val="0"/>
        </w:rPr>
        <w:t>Datos semiológicos: elementos mínimos de bipiramidalismo + síndrome bipiramidal a predominio crural + hemihipoestesia con nivel sensitivo dorsal + ataxia axial leve.- EDSS: 4.0.-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02/03/19: múltiples imágenes focales cerebrales en la sustancia blanca a predominio periventriculares bilaterales pericallosas (n°≥ 15), con algunas captando Gd IV(+) compatibles con actividad. inactiva. Hallazgos cortical. sin realce con Gd.</w:t>
      </w:r>
    </w:p>
    <w:p>
      <w:r>
        <w:rPr>
          <w:b w:val="0"/>
        </w:rPr>
        <w:t>-RMN de c/ cervical-dorsal 01/07/18: sin imágenes focales espinales evidentes en el control. inactiva. Hallazgos periventricular. sin realce con Gd.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-Punción lumbar con evaluación del LCR (02/03/19):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2020: Estado=Activo; Nuevas_T2=3; Gd+=1.</w:t>
      </w:r>
    </w:p>
    <w:p>
      <w:r>
        <w:rPr>
          <w:b w:val="0"/>
        </w:rPr>
        <w:t>-Año 2021: Estado=NEDA_RMN; Nuevas_T2=0; Gd+=0.</w:t>
      </w:r>
    </w:p>
    <w:p>
      <w:r>
        <w:rPr>
          <w:b w:val="0"/>
        </w:rPr>
        <w:t>-Potenciales Evocados: latencias bilaterales en límite superior de normalidad.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-Gabapentín (Neurontin): 600 mg/día por vía oral, indicado para dolor neuropático. -Baclofeno (Lioresal): 40-80 mg/día por vía oral, indicado para espasticidad/hipertonía.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