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“SAN MARTIN”</w:t>
      </w:r>
    </w:p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</w:t>
      </w:r>
    </w:p>
    <w:p>
      <w:pPr>
        <w:jc w:val="center"/>
      </w:pPr>
      <w:r>
        <w:rPr>
          <w:b/>
        </w:rPr>
        <w:t>SECCIÓN DE ENFERMEDADES DESMIELINIZANTES                  URGENTE</w:t>
      </w:r>
    </w:p>
    <w:p/>
    <w:p>
      <w:pPr>
        <w:jc w:val="center"/>
      </w:pPr>
      <w:r>
        <w:rPr>
          <w:b/>
        </w:rPr>
        <w:t xml:space="preserve">     RESUMEN DE HISTORIA CLÍNICA.                                               La Plata, 07 de Diciembre de 2020</w:t>
      </w:r>
    </w:p>
    <w:p/>
    <w:p>
      <w:r>
        <w:rPr>
          <w:b w:val="0"/>
        </w:rPr>
        <w:t>Apellido y nombre: Gómez, Paola Andrea.    DNI: 18.343.768        Fecha de Nacimiento: 23/11/99</w:t>
      </w:r>
    </w:p>
    <w:p>
      <w:r>
        <w:rPr>
          <w:b w:val="0"/>
        </w:rPr>
        <w:t>Dirección: 60 e/ 1 y 2 Nº 455. La Plata. Teléfono: (0221)  453-4611 / 15- 8536477</w:t>
      </w:r>
    </w:p>
    <w:p>
      <w:r>
        <w:rPr>
          <w:b w:val="0"/>
        </w:rPr>
        <w:t>Obra Social: IOMA</w:t>
      </w:r>
    </w:p>
    <w:p>
      <w:r>
        <w:rPr>
          <w:b w:val="0"/>
        </w:rPr>
        <w:t xml:space="preserve">                       nº de afiliado: Z10872248/00</w:t>
      </w:r>
    </w:p>
    <w:p>
      <w:r>
        <w:rPr>
          <w:b w:val="0"/>
        </w:rPr>
        <w:t>Asistida desde: 25/03/23</w:t>
      </w:r>
    </w:p>
    <w:p>
      <w:r>
        <w:rPr>
          <w:b w:val="0"/>
        </w:rPr>
        <w:t>Antecedente personales: -rosácea + -EPOC leve.-</w:t>
      </w:r>
    </w:p>
    <w:p>
      <w:r>
        <w:rPr>
          <w:b w:val="0"/>
        </w:rPr>
        <w:t>Antecedentes familiares: padre con HTA.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diciembre 2022: episodio sensitivo con parestesias/hipoestesia de distribución dorsal que duró meses y restituyó casi ad integrum -(2°) enero 2025: recaída de similares características, agregando mínimo componente motor y/o equilibrio. fatiga y termosensibilidad. trastornos del equilibrio y coordinación con marcha inestable. dolor neuropático tipo fulgurante y Lhermitte. constipación pertinaz. crisis vertiginosas. Evolución: -Buena respuesta clínica, sin brotes recientes y adecuada tolerancia al tratamiento.</w:t>
      </w:r>
    </w:p>
    <w:p>
      <w:r>
        <w:rPr>
          <w:b w:val="0"/>
        </w:rPr>
        <w:t>Datos semiológicos: elementos esfinterianos vésico-rectales + elementos mínimos de bipiramidalismo + síndrome bipiramidal a predominio crural + hemihipoestesia con nivel sensitivo dorsal.- EDSS: 4.5.-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Biomarcadores e Imagen:</w:t>
      </w:r>
    </w:p>
    <w:p>
      <w:r>
        <w:rPr>
          <w:b w:val="0"/>
        </w:rPr>
        <w:t>-Punción lumbar con evaluación del LCR: bandas oligoclonales de IgG: positivas.</w:t>
      </w:r>
    </w:p>
    <w:p>
      <w:r>
        <w:rPr>
          <w:b w:val="0"/>
        </w:rPr>
        <w:t>-Detección de Atrofia: No detectada.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encéfalo 14/01/16: lesiones desmielinizantes periventriculares y yuxtacorticales, sin captación de Gd IV(-) en el control. inactiva. Hallazgos infratentorial. sin realce con Gd.</w:t>
      </w:r>
    </w:p>
    <w:p>
      <w:r>
        <w:rPr>
          <w:b w:val="0"/>
        </w:rPr>
        <w:t>-RMN de c/ cervical-dorsal 27/07/18: lesión intramedular cervical C3-C4 con realce con Gd IV, compatible con desmielinización aguda. inactiva. Hallazgos medular. sin realce con Gd.</w:t>
      </w:r>
    </w:p>
    <w:p>
      <w:r>
        <w:rPr>
          <w:b w:val="0"/>
        </w:rPr>
        <w:t>-Potenciales Evocados: latencias bilaterales en límite superior de normalidad.</w:t>
      </w:r>
    </w:p>
    <w:p>
      <w:r>
        <w:rPr>
          <w:b w:val="0"/>
        </w:rPr>
        <w:t>-Punción lumbar con evaluación del LCR (14/01/16): bandas oligoclonales de IgG: Positivas.</w:t>
      </w:r>
    </w:p>
    <w:p>
      <w:r>
        <w:rPr>
          <w:b w:val="0"/>
        </w:rPr>
        <w:t>-RMN volumétrica: se describen signos de atrofia cerebral leve (disminución de volumen).</w:t>
      </w:r>
    </w:p>
    <w:p>
      <w:r>
        <w:rPr>
          <w:b w:val="0"/>
        </w:rPr>
        <w:t>Actividad Lesional Bianual (RMN):</w:t>
      </w:r>
    </w:p>
    <w:p>
      <w:r>
        <w:rPr>
          <w:b w:val="0"/>
        </w:rPr>
        <w:t>-Año 2019: Estado=NEDA_RMN; Nuevas_T2=0; Gd+=0.</w:t>
      </w:r>
    </w:p>
    <w:p>
      <w:r>
        <w:rPr>
          <w:b w:val="0"/>
        </w:rPr>
        <w:t>-Año 2020: Estado=NEDA_RMN; Nuevas_T2=0; Gd+=0.</w:t>
      </w:r>
    </w:p>
    <w:p>
      <w:r>
        <w:rPr>
          <w:b w:val="0"/>
        </w:rPr>
        <w:t>-Potenciales Evocados: latencias bilaterales en límite superior de normalidad.</w:t>
      </w:r>
    </w:p>
    <w:p>
      <w:r>
        <w:rPr>
          <w:b w:val="0"/>
        </w:rPr>
        <w:t>Diagnóstico: Esclerosis Múltiple a Recaídas y Remisiones (OMS: 340).</w:t>
      </w:r>
    </w:p>
    <w:p>
      <w:r>
        <w:rPr>
          <w:b w:val="0"/>
        </w:rPr>
        <w:t>Comentario: el/la paciente debe continuar Urgente con la terapia inmunomoduladora: Acetato de glatiramer (Copaxone) 20 mg 1 vez/día por vía SC. El objetivo es disminuir el número y la gravedad de las recaídas, retrasando la discapacidad acumulativa y previniendo la atrofia cerebral.</w:t>
      </w:r>
    </w:p>
    <w:p>
      <w:r>
        <w:rPr>
          <w:b w:val="0"/>
        </w:rPr>
        <w:t>Además, tratamiento sintomático: -Gabapentín (Neurontin): 600 mg/día por vía oral, indicado para dolor neuropático. -Baclofeno (Lioresal): 40-80 mg/día por vía oral, indicado para espasticidad/hipertonía. -Modafinilo: 100-200 mg/día por vía oral, indicado para fatiga.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1998; Neurology 2001). EVIDENCE (Neurology 2002).</w:t>
      </w:r>
    </w:p>
    <w:p>
      <w:r>
        <w:rPr>
          <w:b w:val="0"/>
        </w:rPr>
        <w:t>Solicito: URGENTE continuidad para: -Copaxone: -Acetato de glatiramer: 20 mg, 1 vez/día = 1 envase/28-30 días.</w:t>
      </w:r>
    </w:p>
    <w:p>
      <w:r>
        <w:rPr>
          <w:b w:val="0"/>
        </w:rPr>
        <w:t xml:space="preserve">  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 Santiago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