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14 de Abril de 2020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-migraña + -cervicalgia + -hipotiroidismo en tratamiento + -diabetes tipo 2.-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2022: episodio sensitivo con parestesias/hipoestesia de distribución dorsal que duró meses y restituyó casi ad integrum -(2°) abril 2025: recaída de similares características, agregando mínimo componente motor y/o equilibrio. dolor neuropático tipo fulgurante y Lhermitte. trastornos del equilibrio y coordinación con marcha inestable. fatiga y termosensibilidad. parestesias e hipoestesias. urgencia urinaria con episodios de incontinencia. Evolución: -Buena respuesta clínica, sin brotes recientes y adecuada tolerancia al tratamiento.</w:t>
      </w:r>
    </w:p>
    <w:p>
      <w:r>
        <w:rPr>
          <w:b w:val="0"/>
        </w:rPr>
        <w:t>Datos semiológicos: Romberg + + R. Hoffman bilateral + elementos esfinterianos vésico-rectales + elementos mínimos de bipiramidalismo.-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06/10/19: múltiples lesiones periventriculares, algunas hipointensas en T1 (agujeros negros), sin restricción en difusión. inactiva. Hallazgos periventricular. sin realce con Gd.</w:t>
      </w:r>
    </w:p>
    <w:p>
      <w:r>
        <w:rPr>
          <w:b w:val="0"/>
        </w:rPr>
        <w:t>-RMN de c/ cervical-dorsal 10/07/19: lesión intramedular cervical C3-C4 con realce con Gd IV, compatible con desmielinización aguda. inactiva. Hallazgos periventricular. sin realce con Gd.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(06/10/19):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2019: Estado=NEDA_RMN; Nuevas_T2=0; Gd+=0.</w:t>
      </w:r>
    </w:p>
    <w:p>
      <w:r>
        <w:rPr>
          <w:b w:val="0"/>
        </w:rPr>
        <w:t>-Año 2020: Estado=NEDA_RMN; Nuevas_T2=0; Gd+=0.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-Pregabalina (Lyrica): 150-300 mg/día por vía oral, indicado para dolor neuropático. -Tizanidina (Sirdalud): 6-12 mg/día por vía oral, indicado para espasticidad. -Mirabegrón (Betmiga): 50 mg/día por vía oral, indicado para urgencia urinaria.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