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23 de Octubre de 2019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-rosácea + -cervicalgia + -ansiedad.-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2015: episodio sensitivo con parestesias/hipoestesia de distribución dorsal que duró meses y restituyó casi ad integrum -(2°) enero 2016: recaída de similares características, agregando mínimo componente motor y/o equilibrio. disestesias con hiperestesias quemantes. trastornos del equilibrio y coordinación con marcha inestable. crisis vertiginosas. urgencia urinaria con episodios de incontinencia. disminución de la fuerza con torpeza motora. constipación pertinaz. Evolución: -Buena respuesta clínica, sin brotes recientes y adecuada tolerancia al tratamiento.</w:t>
      </w:r>
    </w:p>
    <w:p>
      <w:r>
        <w:rPr>
          <w:b w:val="0"/>
        </w:rPr>
        <w:t>Datos semiológicos: R. Hoffman bilateral + ataxia axial leve + Romberg +.-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10/11/18: múltiples lesiones periventriculares, algunas hipointensas en T1 (agujeros negros), sin restricción en difusión. inactiva. Hallazgos cortical. sin realce con Gd.</w:t>
      </w:r>
    </w:p>
    <w:p>
      <w:r>
        <w:rPr>
          <w:b w:val="0"/>
        </w:rPr>
        <w:t>-RMN de c/ cervical-dorsal 26/02/18: sin imágenes focales espinales evidentes en el control. inactiva. Hallazgos infratentorial.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(10/11/18):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2018: Estado=NEDA_RMN; Nuevas_T2=0; Gd+=0.</w:t>
      </w:r>
    </w:p>
    <w:p>
      <w:r>
        <w:rPr>
          <w:b w:val="0"/>
        </w:rPr>
        <w:t>-Año 2019: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