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09 de Enero de 2020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-tabaquismo + -alergia a abejas + -diabetes tipo 2 + -ansiedad + -EPOC leve.-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2010: episodio sensitivo con parestesias/hipoestesia de distribución dorsal que duró meses y restituyó casi ad integrum -(2°) junio 2013: recaída de similares características, agregando mínimo componente motor y/o equilibrio. trastornos del equilibrio y coordinación con marcha inestable. fatiga y termosensibilidad. constipación pertinaz. dolor neuropático tipo fulgurante y Lhermitte. parestesias e hipoestesias. Evolución: -Libre de recaídas, sin requerimientos de corticoides en los últimos meses.</w:t>
      </w:r>
    </w:p>
    <w:p>
      <w:r>
        <w:rPr>
          <w:b w:val="0"/>
        </w:rPr>
        <w:t>Datos semiológicos: síndrome bipiramidal a predominio crural + elementos esfinterianos vésico-rectales + hemihipoestesia con nivel sensitivo dorsal + elementos mínimos de bipiramidalismo.-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negativas.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25/07/17: múltiples lesiones periventriculares, algunas hipointensas en T1 (agujeros negros), sin restricción en difusión. inactiva. Hallazgos infratentorial. sin realce con Gd.</w:t>
      </w:r>
    </w:p>
    <w:p>
      <w:r>
        <w:rPr>
          <w:b w:val="0"/>
        </w:rPr>
        <w:t>-RMN de c/ cervical-dorsal 25/07/17: sin imágenes focales espinales evidentes en el control. inactiva. Hallazgos infratentorial. sin realce con Gd.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(25/07/17):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2019: Estado=NEDA_RMN; Nuevas_T2=0; Gd+=0.</w:t>
      </w:r>
    </w:p>
    <w:p>
      <w:r>
        <w:rPr>
          <w:b w:val="0"/>
        </w:rPr>
        <w:t>-Año 2020: Estado=Activo; Nuevas_T2=1; Gd+=0.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-Gabapentín (Neurontin): 600 mg/día por vía oral, indicado para dolor neuropático. -Tizanidina (Sirdalud): 6-12 mg/día por vía oral, indicado para espasticidad.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