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Noviembre de 2022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-síndrome de túnel carpiano + -rosácea + -hipertensión arterial + -alergia a abejas + -hipotiroidismo en tratamiento.-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2010: episodio sensitivo con parestesias/hipoestesia de distribución dorsal que duró meses y restituyó casi ad integrum -(2°) enero 2014: recaída de similares características, agregando mínimo componente motor y/o equilibrio. disminución de la fuerza con torpeza motora. dolor neuropático tipo fulgurante y Lhermitte. neuritis óptica / disminución de visión central. parestesias e hipoestesias. fatiga y termosensibilidad. trastornos del equilibrio y coordinación con marcha inestable.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elementos mínimos de bipiramidalismo + hemihipoestesia con nivel sensitivo dorsal + ataxia axial leve + Romberg +.-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13/08/17: lesiones desmielinizantes periventriculares y yuxtacorticales, sin captación de Gd IV(-) en el control. inactiva. Hallazgos infratentorial. sin realce con Gd.</w:t>
      </w:r>
    </w:p>
    <w:p>
      <w:r>
        <w:rPr>
          <w:b w:val="0"/>
        </w:rPr>
        <w:t>-RMN de c/ cervical-dorsal 08/07/21: lesión intramedular cervical C3-C4 con realce con Gd IV, compatible con desmielinización aguda. inactiva. Hallazgos periventricular.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(13/08/17):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2021: Estado=NEDA_RMN; Nuevas_T2=0; Gd+=0.</w:t>
      </w:r>
    </w:p>
    <w:p>
      <w:r>
        <w:rPr>
          <w:b w:val="0"/>
        </w:rPr>
        <w:t>-Año 2022: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