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02 de Julio de 2025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-hipertensión arterial + -rosácea + -migraña + -ansiedad + -EPOC leve.-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2010: episodio sensitivo con parestesias/hipoestesia de distribución dorsal que duró meses y restituyó casi ad integrum -(2°) marzo 2012: recaída de similares características, agregando mínimo componente motor y/o equilibrio. urgencia urinaria con episodios de incontinencia. constipación pertinaz. dolor neuropático tipo fulgurante y Lhermitte. disminución de la fuerza con torpeza motora. crisis vertiginosas. Evolución: -Sin evidencia de actividad clínica reciente; controles radiológicos sin captación de gadolinio.</w:t>
      </w:r>
    </w:p>
    <w:p>
      <w:r>
        <w:rPr>
          <w:b w:val="0"/>
        </w:rPr>
        <w:t>Datos semiológicos: ataxia axial leve + elementos mínimos de bipiramidalismo + síndrome bipiramidal a predominio crural.-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21/08/20: lesiones desmielinizantes periventriculares y yuxtacorticales, sin captación de Gd IV(-) en el control. activa. Hallazgos cortical. sin realce con Gd.</w:t>
      </w:r>
    </w:p>
    <w:p>
      <w:r>
        <w:rPr>
          <w:b w:val="0"/>
        </w:rPr>
        <w:t>-RMN de c/ cervical-dorsal 07/05/24: lesión intramedular cervical C3-C4 con realce con Gd IV, compatible con desmielinización aguda. inactiva. Hallazgos medular.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(21/08/20):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2024: Estado=NEDA_RMN; Nuevas_T2=0; Gd+=0.</w:t>
      </w:r>
    </w:p>
    <w:p>
      <w:r>
        <w:rPr>
          <w:b w:val="0"/>
        </w:rPr>
        <w:t>-Año 2025: Estado=Activo; Nuevas_T2=1;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