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07 de Octubre de 2021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-síndrome de túnel carpiano + -alergia a abejas + -ansiedad.-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2010: episodio sensitivo con parestesias/hipoestesia de distribución dorsal que duró meses y restituyó casi ad integrum -(2°) marzo 2012: recaída de similares características, agregando mínimo componente motor y/o equilibrio. disestesias con hiperestesias quemantes. urgencia urinaria con episodios de incontinencia. neuritis óptica / disminución de visión central. parestesias e hipoestesias. trastornos del equilibrio y coordinación con marcha inestable. Evolución: -Libre de recaídas, sin requerimientos de corticoides en los últimos meses.</w:t>
      </w:r>
    </w:p>
    <w:p>
      <w:r>
        <w:rPr>
          <w:b w:val="0"/>
        </w:rPr>
        <w:t>Datos semiológicos: elementos mínimos de bipiramidalismo + Romberg + + hemihipoestesia con nivel sensitivo dorsal + elementos esfinterianos vésico-rectales.-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26/10/16: lesiones desmielinizantes periventriculares y yuxtacorticales, sin captación de Gd IV(-) en el control. inactiva. Hallazgos periventricular. sin realce con Gd.</w:t>
      </w:r>
    </w:p>
    <w:p>
      <w:r>
        <w:rPr>
          <w:b w:val="0"/>
        </w:rPr>
        <w:t>-RMN de c/ cervical-dorsal 09/03/17: imágenes focales en médula dorsal T3-T4 y T5-T6 con discreto realce con Gd IV(+). inactiva. Hallazgos infratentorial.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(26/10/16):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2020: Estado=Activo; Nuevas_T2=4; Gd+=0.</w:t>
      </w:r>
    </w:p>
    <w:p>
      <w:r>
        <w:rPr>
          <w:b w:val="0"/>
        </w:rPr>
        <w:t>-Año 2021: Estado=NEDA_RMN; Nuevas_T2=0;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