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26 de Febrero de 2025</w:t>
      </w:r>
    </w:p>
    <w:p/>
    <w:p>
      <w:r>
        <w:rPr>
          <w:b w:val="0"/>
        </w:rPr>
        <w:t>Apellido y nombre: Suárez, Agustina.    DNI: 42.882.402        Fecha de Nacimiento: 21/11/94</w:t>
      </w:r>
    </w:p>
    <w:p>
      <w:r>
        <w:rPr>
          <w:b w:val="0"/>
        </w:rPr>
        <w:t>Dirección: 7 y 526. Tolosa, La Plata. Teléfono: (0221)  480-6179 / 15- 3532644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P69352161/00</w:t>
      </w:r>
    </w:p>
    <w:p>
      <w:r>
        <w:rPr>
          <w:b w:val="0"/>
        </w:rPr>
        <w:t>Asistida desde: 21/05/18</w:t>
      </w:r>
    </w:p>
    <w:p>
      <w:r>
        <w:rPr>
          <w:b w:val="0"/>
        </w:rPr>
        <w:t>Antecedente personales: -hipertensión arterial + -alergia a abejas + -diabetes tipo 2 + -ansiedad + -EPOC leve.-</w:t>
      </w:r>
    </w:p>
    <w:p>
      <w:r>
        <w:rPr>
          <w:b w:val="0"/>
        </w:rPr>
        <w:t>Antecedentes familiares: hermano con diabetes.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octubre 2012: episodio sensitivo con parestesias/hipoestesia de distribución dorsal que duró meses y restituyó casi ad integrum -(2°) marzo 2015: recaída de similares características, agregando mínimo componente motor y/o equilibrio. disestesias con hiperestesias quemantes. fatiga y termosensibilidad. crisis vertiginosas. trastornos del equilibrio y coordinación con marcha inestable. parestesias e hipoestesias. urgencia urinaria con episodios de incontinencia. Evolución: -Buena respuesta clínica, sin brotes recientes y adecuada tolerancia al tratamiento.</w:t>
      </w:r>
    </w:p>
    <w:p>
      <w:r>
        <w:rPr>
          <w:b w:val="0"/>
        </w:rPr>
        <w:t>Datos semiológicos: ataxia axial leve + síndrome bipiramidal a predominio crural + Romberg + + R. Hoffman bilateral.- EDSS: 3.0.-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Biomarcadores e Imagen:</w:t>
      </w:r>
    </w:p>
    <w:p>
      <w:r>
        <w:rPr>
          <w:b w:val="0"/>
        </w:rPr>
        <w:t>-Punción lumbar con evaluación del LCR: bandas oligoclonales de IgG: positivas.</w:t>
      </w:r>
    </w:p>
    <w:p>
      <w:r>
        <w:rPr>
          <w:b w:val="0"/>
        </w:rPr>
        <w:t>-Detección de Atrofia: No detectada.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encéfalo 17/11/21: múltiples lesiones periventriculares, algunas hipointensas en T1 (agujeros negros), sin restricción en difusión. inactiva. Hallazgos infratentorial. sin realce con Gd.</w:t>
      </w:r>
    </w:p>
    <w:p>
      <w:r>
        <w:rPr>
          <w:b w:val="0"/>
        </w:rPr>
        <w:t>-RMN de c/ cervical-dorsal 02/04/25: imágenes focales en médula dorsal T3-T4 y T5-T6 con discreto realce con Gd IV(+). inactiva. Hallazgos infratentorial. sin realce con Gd.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-Punción lumbar con evaluación del LCR (17/11/21): bandas oligoclonales de IgG: Positivas.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Actividad Lesional Bianual (RMN):</w:t>
      </w:r>
    </w:p>
    <w:p>
      <w:r>
        <w:rPr>
          <w:b w:val="0"/>
        </w:rPr>
        <w:t>-Año 2024: Estado=NEDA_RMN; Nuevas_T2=0; Gd+=0.</w:t>
      </w:r>
    </w:p>
    <w:p>
      <w:r>
        <w:rPr>
          <w:b w:val="0"/>
        </w:rPr>
        <w:t>-Año 2025: Estado=NEDA_RMN; Nuevas_T2=0; Gd+=0.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-Tizanidina (Sirdalud): 6-12 mg/día por vía oral, indicado para espasticidad. -Oxibutinina (Ditropan UD): 10-15 mg/día por vía oral, indicado para urgencia urinaria/incontinencia.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