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03 de Julio de 2020</w:t>
      </w:r>
    </w:p>
    <w:p/>
    <w:p>
      <w:r>
        <w:rPr>
          <w:b w:val="0"/>
        </w:rPr>
        <w:t>Apellido y nombre: Sosa, Gustavo.    DNI: 45.976.365        Fecha de Nacimiento: 10/12/83</w:t>
      </w:r>
    </w:p>
    <w:p>
      <w:r>
        <w:rPr>
          <w:b w:val="0"/>
        </w:rPr>
        <w:t>Dirección: 13 bis Nº 3798. La Plata. Teléfono: (0221)  468-4918 / 15- 6192009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Z72950208/00</w:t>
      </w:r>
    </w:p>
    <w:p>
      <w:r>
        <w:rPr>
          <w:b w:val="0"/>
        </w:rPr>
        <w:t>Asistida desde: 27/04/21</w:t>
      </w:r>
    </w:p>
    <w:p>
      <w:r>
        <w:rPr>
          <w:b w:val="0"/>
        </w:rPr>
        <w:t>Antecedente personales: -diabetes tipo 2 + -cervicalgia.-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2013: episodio sensitivo con parestesias/hipoestesia de distribución dorsal que duró meses y restituyó casi ad integrum -(2°) enero 2014: recaída de similares características, agregando mínimo componente motor y/o equilibrio. fatiga y termosensibilidad. constipación pertinaz. neuritis óptica / disminución de visión central. disestesias con hiperestesias quemantes. crisis vertiginosas.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síndrome bipiramidal a predominio crural + Romberg + + hemihipoestesia con nivel sensitivo dorsal + ataxia axial leve.-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12/01/18: múltiples imágenes focales cerebrales en la sustancia blanca a predominio periventriculares bilaterales pericallosas (n°≥ 15), con algunas captando Gd IV(+) compatibles con actividad. inactiva. Hallazgos periventricular. sin realce con Gd.</w:t>
      </w:r>
    </w:p>
    <w:p>
      <w:r>
        <w:rPr>
          <w:b w:val="0"/>
        </w:rPr>
        <w:t>-RMN de c/ cervical-dorsal 02/07/19: imágenes focales en médula dorsal T3-T4 y T5-T6 con discreto realce con Gd IV(+). inactiva. Hallazgos periventricular.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(12/01/18):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2019: Estado=Activo; Nuevas_T2=4; Gd+=0.</w:t>
      </w:r>
    </w:p>
    <w:p>
      <w:r>
        <w:rPr>
          <w:b w:val="0"/>
        </w:rPr>
        <w:t>-Año 2020: Estado=Activo; Nuevas_T2=4;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