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14 de Marzo de 2021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-hipertensión arterial + -diabetes tipo 2.-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2017: episodio sensitivo con parestesias/hipoestesia de distribución dorsal que duró meses y restituyó casi ad integrum -(2°) julio 2021: recaída de similares características, agregando mínimo componente motor y/o equilibrio. trastornos del equilibrio y coordinación con marcha inestable. dolor neuropático tipo fulgurante y Lhermitte. crisis vertiginosas. disestesias con hiperestesias quemantes. Evolución: -Buena respuesta clínica, sin brotes recientes y adecuada tolerancia al tratamiento.</w:t>
      </w:r>
    </w:p>
    <w:p>
      <w:r>
        <w:rPr>
          <w:b w:val="0"/>
        </w:rPr>
        <w:t>Datos semiológicos: elementos mínimos de bipiramidalismo + síndrome bipiramidal a predominio crural + hemihipoestesia con nivel sensitivo dorsal + ataxia axial leve.-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26/05/19: múltiples imágenes focales cerebrales en la sustancia blanca a predominio periventriculares bilaterales pericallosas (n°≥ 15), con algunas captando Gd IV(+) compatibles con actividad. inactiva. sin realce con Gd. Región: infratentorial.</w:t>
      </w:r>
    </w:p>
    <w:p>
      <w:r>
        <w:rPr>
          <w:b w:val="0"/>
        </w:rPr>
        <w:t>-RMN de médula cervical y dorsal 14/05/19: sin imágenes focales espinales evidentes en el control. inactiva. sin realce con Gd. Región: infratentorial.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(26/05/19): bandas oligoclonales de IgG: negativas.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falla por baja eficacia.</w:t>
      </w:r>
    </w:p>
    <w:p>
      <w:r>
        <w:rPr>
          <w:b w:val="0"/>
        </w:rPr>
        <w:t>Además, tratamiento sintomático: -Gabapentín (Neurontin): 600 mg/día por vía oral, indicado para dolor neuropático. -Baclofeno (Lioresal): 40-80 mg/día por vía oral, indicado para espasticidad/hipertonía.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