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22 de Abril de 2023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-tabaquismo + -rosácea.-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2020: episodio sensitivo con parestesias/hipoestesia de distribución dorsal que duró meses y restituyó casi ad integrum -(2°) marzo 2023: recaída de similares características, agregando mínimo componente motor y/o equilibrio. disminución de la fuerza con torpeza motora. crisis vertiginosas. fatiga y termosensibilidad. neuritis óptica / disminución de visión central. urgencia urinaria con episodios de incontinencia. Evolución: -Libre de recaídas, sin requerimientos de corticoides en los últimos meses.</w:t>
      </w:r>
    </w:p>
    <w:p>
      <w:r>
        <w:rPr>
          <w:b w:val="0"/>
        </w:rPr>
        <w:t>Datos semiológicos: Romberg + + elementos esfinterianos vésico-rectales + R. Hoffman bilateral + síndrome bipiramidal a predominio crural + hemihipoestesia con nivel sensitivo dorsal.- EDSS: 4.5.-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25/06/18: múltiples imágenes focales cerebrales en la sustancia blanca a predominio periventriculares bilaterales pericallosas (n°≥ 15), con algunas captando Gd IV(+) compatibles con actividad. activa. sin realce con Gd. Región: infratentorial.</w:t>
      </w:r>
    </w:p>
    <w:p>
      <w:r>
        <w:rPr>
          <w:b w:val="0"/>
        </w:rPr>
        <w:t>-RMN de médula cervical y dorsal 09/11/19: sin imágenes focales espinales evidentes en el control. inactiva. sin realce con Gd. Región: medular.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(25/06/18):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 (Avonex) 30 mcgrs. 1 vez/semana por vía IM. El objetivo es disminuir el número y la gravedad de las recaídas, retrasando la discapacidad acumulativa y previniendo la atrofia cerebral. Motivo de cambio: falla por actividad radiológica.</w:t>
      </w:r>
    </w:p>
    <w:p>
      <w:r>
        <w:rPr>
          <w:b w:val="0"/>
        </w:rPr>
        <w:t>Además, tratamiento sintomático: -Baclofeno (Lioresal): 40-80 mg/día por vía oral, indicado para espasticidad/hipertonía. -Mirabegrón (Betmiga): 50 mg/día por vía oral, indicado para urgencia urinaria.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-Avonex: -Interferón beta 1a: 30 mcgrs., 1 vez/semana = 1 envase/28 días (4 aplicaciones).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