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HOSPITAL INTERZONAL GENERAL DE AGUDOS “SAN MARTIN”</w:t>
      </w:r>
    </w:p>
    <w:p>
      <w:pPr>
        <w:jc w:val="center"/>
      </w:pPr>
      <w:r>
        <w:rPr>
          <w:b/>
        </w:rPr>
        <w:t>HOSPITAL INTERZONAL GENERAL DE AGUDOS “Gral. SAN MARTIN” -La Plata-</w:t>
      </w:r>
    </w:p>
    <w:p>
      <w:pPr>
        <w:jc w:val="center"/>
      </w:pPr>
      <w:r>
        <w:rPr>
          <w:b/>
        </w:rPr>
        <w:t>SERVICIO DE NEUROLOGÍA</w:t>
      </w:r>
    </w:p>
    <w:p>
      <w:pPr>
        <w:jc w:val="center"/>
      </w:pPr>
      <w:r>
        <w:rPr>
          <w:b/>
        </w:rPr>
        <w:t>SECCIÓN DE ENFERMEDADES DESMIELINIZANTES                  URGENTE</w:t>
      </w:r>
    </w:p>
    <w:p/>
    <w:p>
      <w:pPr>
        <w:jc w:val="center"/>
      </w:pPr>
      <w:r>
        <w:rPr>
          <w:b/>
        </w:rPr>
        <w:t xml:space="preserve">     RESUMEN DE HISTORIA CLÍNICA.                                               La Plata, 02 de Mayo de 2021</w:t>
      </w:r>
    </w:p>
    <w:p/>
    <w:p>
      <w:r>
        <w:rPr>
          <w:b w:val="0"/>
        </w:rPr>
        <w:t>Apellido y nombre: Gómez, Paola Andrea.    DNI: 18.343.768        Fecha de Nacimiento: 23/11/99</w:t>
      </w:r>
    </w:p>
    <w:p>
      <w:r>
        <w:rPr>
          <w:b w:val="0"/>
        </w:rPr>
        <w:t>Dirección: 60 e/ 1 y 2 Nº 455. La Plata. Teléfono: (0221)  453-4611 / 15- 8536477</w:t>
      </w:r>
    </w:p>
    <w:p>
      <w:r>
        <w:rPr>
          <w:b w:val="0"/>
        </w:rPr>
        <w:t>Obra Social: IOMA</w:t>
      </w:r>
    </w:p>
    <w:p>
      <w:r>
        <w:rPr>
          <w:b w:val="0"/>
        </w:rPr>
        <w:t xml:space="preserve">                       nº de afiliado: Z10872248/00</w:t>
      </w:r>
    </w:p>
    <w:p>
      <w:r>
        <w:rPr>
          <w:b w:val="0"/>
        </w:rPr>
        <w:t>Asistida desde: 25/03/23</w:t>
      </w:r>
    </w:p>
    <w:p>
      <w:r>
        <w:rPr>
          <w:b w:val="0"/>
        </w:rPr>
        <w:t>Antecedente personales: -ansiedad + -cervicalgia + -migraña + -hipotiroidismo en tratamiento.-</w:t>
      </w:r>
    </w:p>
    <w:p>
      <w:r>
        <w:rPr>
          <w:b w:val="0"/>
        </w:rPr>
        <w:t>Antecedentes familiares: padre con HTA.</w:t>
      </w:r>
    </w:p>
    <w:p>
      <w:r>
        <w:rPr>
          <w:b w:val="0"/>
        </w:rPr>
        <w:t>Síntomas principales: en un curso muy claro de brotes y remisiones, desarrolló al menos dos recaídas compatibles con afección multifocal de la sustancia blanca del sistema nervioso central, como: -(1°) mayo 2021: episodio sensitivo con parestesias/hipoestesia de distribución dorsal que duró meses y restituyó casi ad integrum -(2°) mayo 2025: recaída de similares características, agregando mínimo componente motor y/o equilibrio. urgencia urinaria con episodios de incontinencia. neuritis óptica / disminución de visión central. constipación pertinaz. dolor neuropático tipo fulgurante y Lhermitte. fatiga y termosensibilidad. Evolución: -Sin evidencia de actividad clínica reciente; controles radiológicos sin captación de gadolinio.</w:t>
      </w:r>
    </w:p>
    <w:p>
      <w:r>
        <w:rPr>
          <w:b w:val="0"/>
        </w:rPr>
        <w:t>Datos semiológicos: Romberg + + ataxia axial leve + síndrome bipiramidal a predominio crural + elementos mínimos de bipiramidalismo.- EDSS: 2.0.-</w:t>
      </w:r>
    </w:p>
    <w:p>
      <w:r>
        <w:rPr>
          <w:b w:val="0"/>
        </w:rPr>
        <w:t>Estudios realizados: entre otros: -Laboratorio de rutina completo (hemograma, hepatograma, función renal, TSH/T4L según corresponda).</w:t>
      </w:r>
    </w:p>
    <w:p>
      <w:r>
        <w:rPr>
          <w:b w:val="0"/>
        </w:rPr>
        <w:t>-RMN de cerebro 14/06/17: lesiones desmielinizantes periventriculares y yuxtacorticales, sin captación de Gd IV(-) en el control. inactiva. sin realce con Gd. Región: periventricular.</w:t>
      </w:r>
    </w:p>
    <w:p>
      <w:r>
        <w:rPr>
          <w:b w:val="0"/>
        </w:rPr>
        <w:t>-RMN de médula cervical y dorsal 11/11/16: sin imágenes focales espinales evidentes en el control. inactiva. sin realce con Gd. Región: infratentorial.</w:t>
      </w:r>
    </w:p>
    <w:p>
      <w:r>
        <w:rPr>
          <w:b w:val="0"/>
        </w:rPr>
        <w:t>-Potenciales Evocados: latencias bilaterales en límite superior de normalidad.</w:t>
      </w:r>
    </w:p>
    <w:p>
      <w:r>
        <w:rPr>
          <w:b w:val="0"/>
        </w:rPr>
        <w:t>-Punción lumbar con evaluación del LCR (14/06/17): bandas oligoclonales de IgG: positivas.</w:t>
      </w:r>
    </w:p>
    <w:p>
      <w:r>
        <w:rPr>
          <w:b w:val="0"/>
        </w:rPr>
        <w:t>Diagnóstico: Esclerosis Múltiple a Recaídas y Remisiones (OMS: 340).</w:t>
      </w:r>
    </w:p>
    <w:p>
      <w:r>
        <w:rPr>
          <w:b w:val="0"/>
        </w:rPr>
        <w:t>Comentario: el/la paciente debe continuar Urgente con la terapia inmunomoduladora: Interferón Beta 1a-recombinante (Blastoferón) 12 MUI (44Mcgrs.) c/u 3 veces/semana por vía SC. El objetivo es disminuir el número y la gravedad de las recaídas, retrasando la discapacidad acumulativa y previniendo la atrofia cerebral. Se trata de la dosificación ajustada según el estudio PRISMS.</w:t>
      </w:r>
    </w:p>
    <w:p>
      <w:r>
        <w:rPr>
          <w:b w:val="0"/>
        </w:rPr>
        <w:t>Además, tratamiento sintomático: -Gabapentín (Neurontin): 600 mg/día por vía oral, indicado para dolor neuropático. -Mirabegrón (Betmiga): 50 mg/día por vía oral, indicado para urgencia urinaria.</w:t>
      </w:r>
    </w:p>
    <w:p>
      <w:r>
        <w:rPr>
          <w:b w:val="0"/>
        </w:rPr>
        <w:t>Es un medicamento con cobertura 100% a cargo de la Obra Social, de acuerdo al PMO/APE. Aprobado por ANMAT con esta precisa indicación.</w:t>
      </w:r>
    </w:p>
    <w:p>
      <w:r>
        <w:rPr>
          <w:b w:val="0"/>
        </w:rPr>
        <w:t>Por ninguna razón debe discontinuarse su administración pues se correrían riesgos de recaídas con consecuencias a veces irreparables.</w:t>
      </w:r>
    </w:p>
    <w:p>
      <w:r>
        <w:rPr>
          <w:b w:val="0"/>
        </w:rPr>
        <w:t>Bibliografía respaldatoria: PRISMS (Lancet 1998; Neurology 2001). EVIDENCE (Neurology 2002).</w:t>
      </w:r>
    </w:p>
    <w:p>
      <w:r>
        <w:rPr>
          <w:b w:val="0"/>
        </w:rPr>
        <w:t>Solicito: URGENTE continuidad para: -Blastoferón: -Interferón Beta 1a-recombinante: 12 MUI (44Mcgrs.) c/u, 3 veces/semana = 1 envase/28 días (12 jeringas prellenadas).</w:t>
      </w:r>
    </w:p>
    <w:p>
      <w:r>
        <w:rPr>
          <w:b w:val="0"/>
        </w:rPr>
        <w:t xml:space="preserve">  Tratamiento Prolongado. -Ruego se respete la precisa indicación-</w:t>
      </w:r>
    </w:p>
    <w:p/>
    <w:p>
      <w:pPr>
        <w:jc w:val="right"/>
      </w:pPr>
      <w:r>
        <w:t xml:space="preserve">                                            Atte. Dr. Vétere  Santiago 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