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11 de Octubre de 2018</w:t>
      </w:r>
    </w:p>
    <w:p/>
    <w:p>
      <w:r>
        <w:rPr>
          <w:b w:val="0"/>
        </w:rPr>
        <w:t>Apellido y nombre: Gómez, Federico.    DNI: 21.434.414        Fecha de Nacimiento: 08/03/61</w:t>
      </w:r>
    </w:p>
    <w:p>
      <w:r>
        <w:rPr>
          <w:b w:val="0"/>
        </w:rPr>
        <w:t>Dirección: 32 e/ 20 y 21 Nº 1550. La Plata. Teléfono: (0221)  494-9935 / 15- 2458591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B13999315/00</w:t>
      </w:r>
    </w:p>
    <w:p>
      <w:r>
        <w:rPr>
          <w:b w:val="0"/>
        </w:rPr>
        <w:t>Asistida desde: 03/04/17</w:t>
      </w:r>
    </w:p>
    <w:p>
      <w:r>
        <w:rPr>
          <w:b w:val="0"/>
        </w:rPr>
        <w:t>Antecedente personales: -diabetes tipo 2 + -cervicalgia + -rosácea.-</w:t>
      </w:r>
    </w:p>
    <w:p>
      <w:r>
        <w:rPr>
          <w:b w:val="0"/>
        </w:rPr>
        <w:t>Antecedentes familiares: hermano con diabetes.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junio 2017: episodio sensitivo con parestesias/hipoestesia de distribución dorsal que duró meses y restituyó casi ad integrum -(2°) marzo 2018: recaída de similares características, agregando mínimo componente motor y/o equilibrio. neuritis óptica / disminución de visión central. fatiga y termosensibilidad. urgencia urinaria con episodios de incontinencia. parestesias e hipoestesias. disminución de la fuerza con torpeza motora. trastornos del equilibrio y coordinación con marcha inestable. Evolución: -Buena respuesta clínica, sin brotes recientes y adecuada tolerancia al tratamiento.</w:t>
      </w:r>
    </w:p>
    <w:p>
      <w:r>
        <w:rPr>
          <w:b w:val="0"/>
        </w:rPr>
        <w:t>Datos semiológicos: hemihipoestesia con nivel sensitivo dorsal + Romberg + + síndrome bipiramidal a predominio crural.- EDSS: 0.0.-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24/02/13: múltiples lesiones periventriculares, algunas hipointensas en T1 (agujeros negros), sin restricción en difusión. inactiva. sin realce con Gd. Región: infratentorial.</w:t>
      </w:r>
    </w:p>
    <w:p>
      <w:r>
        <w:rPr>
          <w:b w:val="0"/>
        </w:rPr>
        <w:t>-RMN de médula cervical y dorsal 25/02/16: imágenes focales en médula dorsal T3-T4 y T5-T6 con discreto realce con Gd IV(+). activa. sin realce con Gd. Región: medular.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 (24/02/13): bandas oligoclonales de IgG: positivas.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-Tizanidina (Sirdalud): 6-12 mg/día por vía oral, indicado para espasticidad. -Oxibutinina (Ditropan UD): 10-15 mg/día por vía oral, indicado para urgencia urinaria/incontinencia.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