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20 de Diciembre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-síndrome de túnel carpiano + -EPOC leve + -rosácea.-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2017: episodio sensitivo con parestesias/hipoestesia de distribución dorsal que duró meses y restituyó casi ad integrum -(2°) febrero 2020: recaída de similares características, agregando mínimo componente motor y/o equilibrio. constipación pertinaz. crisis vertiginosas. neuritis óptica / disminución de visión central. disminución de la fuerza con torpeza motora. fatiga y termosensibilidad. trastornos del equilibrio y coordinación con marcha inestable. Evolución: -Buena respuesta clínica, sin brotes recientes y adecuada tolerancia al tratamiento.</w:t>
      </w:r>
    </w:p>
    <w:p>
      <w:r>
        <w:rPr>
          <w:b w:val="0"/>
        </w:rPr>
        <w:t>Datos semiológicos: R. Hoffman bilateral + ataxia axial leve + Romberg + + elementos esfinterianos vésico-rectales.-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09/04/25: múltiples imágenes focales cerebrales en la sustancia blanca a predominio periventriculares bilaterales pericallosas (n°≥ 15), con algunas captando Gd IV(+) compatibles con actividad. inactiva. sin realce con Gd. Región: periventricular.</w:t>
      </w:r>
    </w:p>
    <w:p>
      <w:r>
        <w:rPr>
          <w:b w:val="0"/>
        </w:rPr>
        <w:t>-RMN de médula cervical y dorsal 22/10/25: imágenes focales en médula dorsal T3-T4 y T5-T6 con discreto realce con Gd IV(+). activa. realza con Gd +. Región: infratentorial.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(09/04/25): bandas oligoclonales de IgG: negativas.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preferencia del paciente / adherencia.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