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27 de Noviembre de 2019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-hipotiroidismo en tratamiento + -rosácea + -migraña + -síndrome de túnel carpiano + -ansiedad.-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2017: episodio sensitivo con parestesias/hipoestesia de distribución dorsal que duró meses y restituyó casi ad integrum -(2°) enero 2020: recaída de similares características, agregando mínimo componente motor y/o equilibrio. trastornos del equilibrio y coordinación con marcha inestable. constipación pertinaz. urgencia urinaria con episodios de incontinencia. parestesias e hipoestesias. Evolución: -Libre de recaídas, sin requerimientos de corticoides en los últimos meses.</w:t>
      </w:r>
    </w:p>
    <w:p>
      <w:r>
        <w:rPr>
          <w:b w:val="0"/>
        </w:rPr>
        <w:t>Datos semiológicos: Romberg + + síndrome bipiramidal a predominio crural + R. Hoffman bilateral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08/02/14: lesiones desmielinizantes periventriculares y yuxtacorticales, sin captación de Gd IV(-) en el control. inactiva. sin realce con Gd. Región: infratentorial.</w:t>
      </w:r>
    </w:p>
    <w:p>
      <w:r>
        <w:rPr>
          <w:b w:val="0"/>
        </w:rPr>
        <w:t>-RMN de médula cervical y dorsal 13/03/18: imágenes focales en médula dorsal T3-T4 y T5-T6 con discreto realce con Gd IV(+). inactiva. sin realce con Gd. Región: infratentorial.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(08/02/14):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