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09 de Noviembre de 2025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-alergia a abejas + -migraña.-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2017: episodio sensitivo con parestesias/hipoestesia de distribución dorsal que duró meses y restituyó casi ad integrum -(2°) julio 2020: recaída de similares características, agregando mínimo componente motor y/o equilibrio. urgencia urinaria con episodios de incontinencia. dolor neuropático tipo fulgurante y Lhermitte. constipación pertinaz. disestesias con hiperestesias quemantes. crisis vertiginosas. Evolución: -Buena respuesta clínica, sin brotes recientes y adecuada tolerancia al tratamiento.</w:t>
      </w:r>
    </w:p>
    <w:p>
      <w:r>
        <w:rPr>
          <w:b w:val="0"/>
        </w:rPr>
        <w:t>Datos semiológicos: hemihipoestesia con nivel sensitivo dorsal + R. Hoffman bilateral + elementos mínimos de bipiramidalismo + elementos esfinterianos vésico-rectales + Romberg +.-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19/06/23: múltiples lesiones periventriculares, algunas hipointensas en T1 (agujeros negros), sin restricción en difusión. inactiva. sin realce con Gd. Región: yuxtacortical.</w:t>
      </w:r>
    </w:p>
    <w:p>
      <w:r>
        <w:rPr>
          <w:b w:val="0"/>
        </w:rPr>
        <w:t>-RMN de médula cervical y dorsal 14/11/22: imágenes focales en médula dorsal T3-T4 y T5-T6 con discreto realce con Gd IV(+). inactiva. sin realce con Gd. Región: medular.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(19/06/23): bandas oligoclonales de IgG: negativas.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-Gabapentín (Neurontin): 600 mg/día por vía oral, indicado para dolor neuropático.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