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07 de Noviembre de 2023</w:t>
      </w:r>
    </w:p>
    <w:p/>
    <w:p>
      <w:r>
        <w:rPr>
          <w:b w:val="0"/>
        </w:rPr>
        <w:t>Apellido y nombre: Suárez, Santiago.    DNI: 40.069.249        Fecha de Nacimiento: 15/08/1989</w:t>
      </w:r>
    </w:p>
    <w:p>
      <w:r>
        <w:rPr>
          <w:b w:val="0"/>
        </w:rPr>
        <w:t>Dirección: 7 y 526. Tolosa, La Plata. Teléfono: (0221)  475-8025 / 15- 6123430</w:t>
      </w:r>
    </w:p>
    <w:p>
      <w:r>
        <w:rPr>
          <w:b w:val="0"/>
        </w:rPr>
        <w:t>Obra Social: IOMA      nº de afiliado: B91823275/00</w:t>
      </w:r>
    </w:p>
    <w:p>
      <w:r>
        <w:rPr>
          <w:b w:val="0"/>
        </w:rPr>
        <w:t>Asistida desde: 24/02/16</w:t>
      </w:r>
    </w:p>
    <w:p>
      <w:r>
        <w:rPr>
          <w:b w:val="0"/>
        </w:rPr>
        <w:t>Antecedente personales: -ansiedad + -EPOC leve + -rosácea + -diabetes tipo 2.-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2019: episodio sensitivo con parestesias que restituyó ad integrum -(Actual) November 2023: presenta nuevo episodio motor con debilidad crural derecha.. neuritis óptica / disminución de visión central. disestesias con hiperestesias quemantes. disminución de la fuerza con torpeza motora. parestesias e hipoestesias. Evolución: Presentó recaída clínica reciente. Se constata progresión del EDSS y actividad radiológica.</w:t>
      </w:r>
    </w:p>
    <w:p>
      <w:r>
        <w:rPr>
          <w:b w:val="0"/>
        </w:rPr>
        <w:t>Datos semiológicos: hemihipoestesia con nivel sensitivo dorsal + elementos esfinterianos vésico-rectales + R. Hoffman bilateral + ataxia axial leve.-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(07/11/2023): lesiones desmielinizantes periventriculares y yuxtacorticales. Se observan 2 nuevas lesiones T2, una de ellas con realce de Gadolinio (+). Actividad inflamatoria. (Activa, Gd Positiva).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Dimetil Fumarato (Tecfidera) 240 mg 2 veces/día por vía Oral. El objetivo es disminuir el número y la gravedad de las recaídas, retrasando la discapacidad acumulativa y previniendo la atrofia cerebral. Se trata de la dosificación ajustada según el estudio DEFINE. Motivo de la indicación: inicio tratamiento.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-Tecfidera (Dimetil Fumarato): 240 mg, 2 veces/día = 1 envase/mensual.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