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 - SECCIÓN DE ENFERMEDADES DESMIELINIZANTES</w:t>
      </w:r>
    </w:p>
    <w:p/>
    <w:p>
      <w:pPr>
        <w:jc w:val="center"/>
      </w:pPr>
      <w:r>
        <w:rPr>
          <w:b/>
        </w:rPr>
        <w:t>RESUMEN DE HISTORIA CLÍNICA</w:t>
      </w:r>
    </w:p>
    <w:p>
      <w:pPr>
        <w:jc w:val="center"/>
      </w:pPr>
      <w:r>
        <w:rPr>
          <w:b w:val="0"/>
        </w:rPr>
        <w:t>La Plata, 11 de Octubre de 2020</w:t>
      </w:r>
    </w:p>
    <w:p/>
    <w:p>
      <w:r>
        <w:rPr>
          <w:b w:val="0"/>
        </w:rPr>
        <w:t>Apellido y nombre: Alvarez, María Laura.    DNI: 39.891.263        Fecha de Nacimiento: 14/06/1977</w:t>
      </w:r>
    </w:p>
    <w:p>
      <w:r>
        <w:rPr>
          <w:b w:val="0"/>
        </w:rPr>
        <w:t>Dirección: calle 650 e/ 2 y 3 s/n° 427. La Plata. Teléfono: (0221)  485-6409 / 15- 6266630</w:t>
      </w:r>
    </w:p>
    <w:p>
      <w:r>
        <w:rPr>
          <w:b w:val="0"/>
        </w:rPr>
        <w:t>Obra Social: OSDE      nº de afiliado: D50308572/00</w:t>
      </w:r>
    </w:p>
    <w:p>
      <w:r>
        <w:rPr>
          <w:b w:val="0"/>
        </w:rPr>
        <w:t>Asistida desde: 17/05/23</w:t>
      </w:r>
    </w:p>
    <w:p>
      <w:r>
        <w:rPr>
          <w:b w:val="0"/>
        </w:rPr>
        <w:t>Antecedente personales: -migraña + -hipertensión arterial + -síndrome de túnel carpiano.-</w:t>
      </w:r>
    </w:p>
    <w:p>
      <w:r>
        <w:rPr>
          <w:b w:val="0"/>
        </w:rPr>
        <w:t>Antecedentes familiares: madre con artritis reumatoidea.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mayo 2015: episodio sensitivo con parestesias que restituyó ad integrum -(Actual) October 2020: presenta nuevo episodio motor con debilidad crural derecha.. disminución de la fuerza con torpeza motora. parestesias e hipoestesias. neuritis óptica / disminución de visión central. disestesias con hiperestesias quemantes. Evolución: Presentó recaída clínica reciente. Se constata progresión del EDSS y actividad radiológica.</w:t>
      </w:r>
    </w:p>
    <w:p>
      <w:r>
        <w:rPr>
          <w:b w:val="0"/>
        </w:rPr>
        <w:t>Datos semiológicos: R. Hoffman bilateral + Romberg + + hemihipoestesia con nivel sensitivo dorsal + ataxia axial leve.- EDSS: 3.5.-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 (11/10/2020): múltiples imágenes focales cerebrales en la sustancia blanca a predominio periventriculares bilaterales pericallosas (n°≥ 15). Se observan 2 nuevas lesiones T2, una de ellas con realce de Gadolinio (+). Actividad inflamatoria. (Activa, Gd Positiva).</w:t>
      </w:r>
    </w:p>
    <w:p>
      <w:r>
        <w:rPr>
          <w:b w:val="0"/>
        </w:rPr>
        <w:t>-RMN de médula: Sin cambios focales espinales evidentes en el control.</w:t>
      </w:r>
    </w:p>
    <w:p>
      <w:r>
        <w:rPr>
          <w:b w:val="0"/>
        </w:rPr>
        <w:t>-Potenciales Evocados Trimodales: somatosensitivos de MMII con alteración en latencias.</w:t>
      </w:r>
    </w:p>
    <w:p>
      <w:r>
        <w:rPr>
          <w:b w:val="0"/>
        </w:rPr>
        <w:t>-Punción lumbar con evaluación del LCR: bandas oligoclonales de IgG Positivas (Tipo 2).</w:t>
      </w:r>
    </w:p>
    <w:p>
      <w:r>
        <w:rPr>
          <w:b w:val="0"/>
        </w:rPr>
        <w:t>Diagnóstico: Esclerosis Múltiple Forma RR. (CIE-10 G35).</w:t>
      </w:r>
    </w:p>
    <w:p>
      <w:r>
        <w:rPr>
          <w:b w:val="0"/>
        </w:rPr>
        <w:t>Comentario: la paciente debe continuar Urgente con la terapia inmunomoduladora: Natalizumab (Tysabri) 300 mg Mensual (cada 28 días) por vía EV. El objetivo es disminuir el número y la gravedad de las recaídas, retrasando la discapacidad acumulativa y previniendo la atrofia cerebral. Se trata de la dosificación ajustada según el estudio AFFIRM. Motivo de la indicación: falla por actividad clínica/radiológica.</w:t>
      </w:r>
    </w:p>
    <w:p>
      <w:r>
        <w:rPr>
          <w:b w:val="0"/>
        </w:rPr>
        <w:t>Además, tratamiento sintomático: -Baclofeno: 40-80 mg/día (espasticidad/hipertonía).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1998); AFFIRM (NEJM 2006); CLARITY (NEJM 2010).</w:t>
      </w:r>
    </w:p>
    <w:p>
      <w:r>
        <w:rPr>
          <w:b w:val="0"/>
        </w:rPr>
        <w:t>Solicito: URGENTE continuidad para: -Tysabri (Natalizumab): 300 mg, Mensual (cada 28 días) = 1 vial.</w:t>
      </w:r>
    </w:p>
    <w:p>
      <w:r>
        <w:rPr>
          <w:b w:val="0"/>
        </w:rPr>
        <w:t>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Santiago A.</w:t>
        <w:br/>
        <w:t xml:space="preserve">                                            Neurología Clínica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