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22 de Mayo de 2023</w:t>
      </w:r>
    </w:p>
    <w:p/>
    <w:p>
      <w:r>
        <w:rPr>
          <w:b w:val="0"/>
        </w:rPr>
        <w:t>Apellido y nombre: Pérez, Diego.    DNI: 47.599.681        Fecha de Nacimiento: 16/02/1996</w:t>
      </w:r>
    </w:p>
    <w:p>
      <w:r>
        <w:rPr>
          <w:b w:val="0"/>
        </w:rPr>
        <w:t>Dirección: 7 y 526. Tolosa, La Plata. Teléfono: (0221)  452-6460 / 15- 6386463</w:t>
      </w:r>
    </w:p>
    <w:p>
      <w:r>
        <w:rPr>
          <w:b w:val="0"/>
        </w:rPr>
        <w:t>Obra Social: OSDE      nº de afiliado: F54265498/00</w:t>
      </w:r>
    </w:p>
    <w:p>
      <w:r>
        <w:rPr>
          <w:b w:val="0"/>
        </w:rPr>
        <w:t>Asistida desde: 14/12/25</w:t>
      </w:r>
    </w:p>
    <w:p>
      <w:r>
        <w:rPr>
          <w:b w:val="0"/>
        </w:rPr>
        <w:t>Antecedente personales: -migraña + -ansiedad + -EPOC leve + -hipotiroidismo en tratamiento + -rosácea.-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2013: episodio sensitivo con parestesias que restituyó ad integrum. crisis vertiginosas. disestesias con hiperestesias quemantes. urgencia urinaria con episodios de incontinencia. disminución de la fuerza con torpeza motora. Evolución: Libre de recaídas clínicas en el último año. Estabilidad clínica y radiológica.</w:t>
      </w:r>
    </w:p>
    <w:p>
      <w:r>
        <w:rPr>
          <w:b w:val="0"/>
        </w:rPr>
        <w:t>Datos semiológicos: Romberg + + hemihipoestesia con nivel sensitivo dorsal + R. Hoffman bilateral + ataxia axial leve.-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(22/05/2023):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Rituximab (Mabthera) 1000 mg Semestral por vía EV. El objetivo es disminuir el número y la gravedad de las recaídas, retrasando la discapacidad acumulativa y previniendo la atrofia cerebral. Se trata de la dosificación ajustada según el estudio HERMES. Motivo de la indicación: inicio tratamiento.</w:t>
      </w:r>
    </w:p>
    <w:p>
      <w:r>
        <w:rPr>
          <w:b w:val="0"/>
        </w:rPr>
        <w:t>Además, tratamiento sintomático: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-Mabthera (Rituximab): 1000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