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26 de Junio de 2022</w:t>
      </w:r>
    </w:p>
    <w:p/>
    <w:p>
      <w:r>
        <w:rPr>
          <w:b w:val="0"/>
        </w:rPr>
        <w:t>Apellido y nombre: Gómez, Carolina.    DNI: 33.133.707        Fecha de Nacimiento: 09/06/1998</w:t>
      </w:r>
    </w:p>
    <w:p>
      <w:r>
        <w:rPr>
          <w:b w:val="0"/>
        </w:rPr>
        <w:t>Dirección: 13 bis Nº 3798. La Plata. Teléfono: (0221)  485-6147 / 15- 5004485</w:t>
      </w:r>
    </w:p>
    <w:p>
      <w:r>
        <w:rPr>
          <w:b w:val="0"/>
        </w:rPr>
        <w:t>Obra Social: IOMA      nº de afiliado: E96637649/00</w:t>
      </w:r>
    </w:p>
    <w:p>
      <w:r>
        <w:rPr>
          <w:b w:val="0"/>
        </w:rPr>
        <w:t>Asistida desde: 10/08/20</w:t>
      </w:r>
    </w:p>
    <w:p>
      <w:r>
        <w:rPr>
          <w:b w:val="0"/>
        </w:rPr>
        <w:t>Antecedente personales: -hipertensión arterial + -hipotiroidismo en tratamiento + -rosácea.-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2016: episodio sensitivo con parestesias que restituyó ad integrum. trastornos del equilibrio y coordinación con marcha inestable. fatiga y termosensibilidad. disminución de la fuerza con torpeza motora. constipación pertinaz. urgencia urinaria con episodios de incontinencia. parestesias e hipoestesias. Evolución: Libre de recaídas clínicas en el último año. Estabilidad clínica y radiológica.</w:t>
      </w:r>
    </w:p>
    <w:p>
      <w:r>
        <w:rPr>
          <w:b w:val="0"/>
        </w:rPr>
        <w:t>Datos semiológicos: ataxia axial leve + Romberg + + hemihipoestesia con nivel sensitivo dorsal + elementos mínimos de bipiramidalismo.- EDSS: 7.0.-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(26/06/2022): múltiples lesiones periventriculares, algunas hipointensas en T1 (agujeros negros).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SP. (CIE-10 G35).</w:t>
      </w:r>
    </w:p>
    <w:p>
      <w:r>
        <w:rPr>
          <w:b w:val="0"/>
        </w:rPr>
        <w:t>Comentario: la paciente debe continuar Urgente con la terapia inmunomoduladora: Ocrelizumab (Ocrevus) 600 mg Semestral por vía EV. El objetivo es disminuir el número y la gravedad de las recaídas, retrasando la discapacidad acumulativa y previniendo la atrofia cerebral. Se trata de la dosificación ajustada según el estudio OPERA.</w:t>
      </w:r>
    </w:p>
    <w:p>
      <w:r>
        <w:rPr>
          <w:b w:val="0"/>
        </w:rPr>
        <w:t>Además, tratamiento sintomático: -Tizanidina: 6-12 mg/día (espasticidad).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-Ocrevus (Ocrelizumab): 600 mg, Semestral = 1 vial.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