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 - SECCIÓN DE ENFERMEDADES DESMIELINIZANTES</w:t>
      </w:r>
    </w:p>
    <w:p/>
    <w:p>
      <w:pPr>
        <w:jc w:val="center"/>
      </w:pPr>
      <w:r>
        <w:rPr>
          <w:b/>
        </w:rPr>
        <w:t>RESUMEN DE HISTORIA CLÍNICA</w:t>
      </w:r>
    </w:p>
    <w:p>
      <w:pPr>
        <w:jc w:val="center"/>
      </w:pPr>
      <w:r>
        <w:rPr>
          <w:b w:val="0"/>
        </w:rPr>
        <w:t>La Plata, 15 de Octubre de 2023</w:t>
      </w:r>
    </w:p>
    <w:p/>
    <w:p>
      <w:r>
        <w:rPr>
          <w:b w:val="0"/>
        </w:rPr>
        <w:t>Apellido y nombre: Gómez, Federico.    DNI: 21.434.414        Fecha de Nacimiento: 24/03/1979</w:t>
      </w:r>
    </w:p>
    <w:p>
      <w:r>
        <w:rPr>
          <w:b w:val="0"/>
        </w:rPr>
        <w:t>Dirección: calle 650 e/ 2 y 3 s/n° 427. La Plata. Teléfono: (0221)  486-9935 / 15- 2458591</w:t>
      </w:r>
    </w:p>
    <w:p>
      <w:r>
        <w:rPr>
          <w:b w:val="0"/>
        </w:rPr>
        <w:t>Obra Social: IOMA      nº de afiliado: B13999315/00</w:t>
      </w:r>
    </w:p>
    <w:p>
      <w:r>
        <w:rPr>
          <w:b w:val="0"/>
        </w:rPr>
        <w:t>Asistida desde: 03/04/17</w:t>
      </w:r>
    </w:p>
    <w:p>
      <w:r>
        <w:rPr>
          <w:b w:val="0"/>
        </w:rPr>
        <w:t>Antecedente personales: -ansiedad + -rosácea + -diabetes tipo 2 + -tabaquismo + -alergia a abejas.-</w:t>
      </w:r>
    </w:p>
    <w:p>
      <w:r>
        <w:rPr>
          <w:b w:val="0"/>
        </w:rPr>
        <w:t>Antecedentes familiares: sin antecedentes neurológicos relevantes.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mayo 2016: episodio sensitivo con parestesias que restituyó ad integrum. parestesias e hipoestesias. disestesias con hiperestesias quemantes. fatiga y termosensibilidad. constipación pertinaz. urgencia urinaria con episodios de incontinencia. disminución de la fuerza con torpeza motora. Evolución: Libre de recaídas clínicas en el último año. Estabilidad clínica y radiológica.</w:t>
      </w:r>
    </w:p>
    <w:p>
      <w:r>
        <w:rPr>
          <w:b w:val="0"/>
        </w:rPr>
        <w:t>Datos semiológicos: síndrome bipiramidal a predominio crural + hemihipoestesia con nivel sensitivo dorsal + elementos mínimos de bipiramidalismo.- EDSS: 2.5.-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(15/10/2023): múltiples imágenes focales cerebrales en la sustancia blanca a predominio periventriculares bilaterales pericallosas (n°≥ 15). Sin cambios significativos respecto a estudios previos. (Inactiva, Gd Negativa). (Inactiva, Gd Negativa).</w:t>
      </w:r>
    </w:p>
    <w:p>
      <w:r>
        <w:rPr>
          <w:b w:val="0"/>
        </w:rPr>
        <w:t>-RMN de médula: Sin cambios focales espinales evidentes en el control.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Diagnóstico: Esclerosis Múltiple Forma RR. (CIE-10 G35).</w:t>
      </w:r>
    </w:p>
    <w:p>
      <w:r>
        <w:rPr>
          <w:b w:val="0"/>
        </w:rPr>
        <w:t>Comentario: la paciente debe continuar Urgente con la terapia inmunomoduladora: Cladribina (Mavenclad) 10 mg Ciclos anuales (Semana 1 y 5) por vía Oral. El objetivo es disminuir el número y la gravedad de las recaídas, retrasando la discapacidad acumulativa y previniendo la atrofia cerebral. Se trata de la dosificación ajustada según el estudio CLARITY.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1998); AFFIRM (NEJM 2006); CLARITY (NEJM 2010).</w:t>
      </w:r>
    </w:p>
    <w:p>
      <w:r>
        <w:rPr>
          <w:b w:val="0"/>
        </w:rPr>
        <w:t>Solicito: URGENTE continuidad para: -Mavenclad (Cladribina): 10 mg, Ciclos anuales (Semana 1 y 5) = Caja x tabletas.</w:t>
      </w:r>
    </w:p>
    <w:p>
      <w:r>
        <w:rPr>
          <w:b w:val="0"/>
        </w:rPr>
        <w:t>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Santiago A.</w:t>
        <w:br/>
        <w:t xml:space="preserve">                                            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