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económico y financiero</w:t>
      </w:r>
    </w:p>
    <w:p>
      <w:pPr>
        <w:pStyle w:val="Subtitle"/>
        <w:jc w:val="center"/>
      </w:pPr>
      <w:r>
        <w:t>Presupuesto, costos, escenarios, contabilidad y control para el lanzamiento público</w:t>
      </w:r>
    </w:p>
    <w:p>
      <w:pPr>
        <w:spacing w:before="560"/>
        <w:jc w:val="center"/>
      </w:pPr>
      <w:r>
        <w:rPr>
          <w:b/>
        </w:rPr>
        <w:t>Proyecto: Plataforma de aprendizaje de japonés mediante canciones</w:t>
      </w:r>
    </w:p>
    <w:p>
      <w:pPr>
        <w:jc w:val="center"/>
      </w:pPr>
      <w:r>
        <w:t>Jurisdicción principal: Costa Rica | Versión: 11 de agosto de 2026</w:t>
      </w:r>
    </w:p>
    <w:p>
      <w:pPr>
        <w:spacing w:before="560"/>
        <w:jc w:val="center"/>
      </w:pPr>
      <w:r>
        <w:rPr>
          <w:b/>
          <w:color w:val="9B1C1C"/>
        </w:rPr>
        <w:t>Estado: documento de preparación, no dictamen profesional</w:t>
      </w:r>
    </w:p>
    <w:p>
      <w:r>
        <w:br w:type="page"/>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2F0D9"/>
          </w:tcPr>
          <w:p>
            <w:r>
              <w:rPr>
                <w:b/>
              </w:rPr>
              <w:t xml:space="preserve">Propósito: </w:t>
            </w:r>
            <w:r>
              <w:t>Convertir el alcance técnico y las obligaciones legales en un presupuesto verificable. Los importes no cotizados se presentan como reservas de planificación y deben sustituirse por propuestas formales antes de aprobar el lanzamiento. Moneda base: USD; para colones se usará el tipo de cambio contable definido por el contador.</w:t>
            </w:r>
          </w:p>
        </w:tc>
      </w:tr>
    </w:tbl>
    <w:p>
      <w:pPr>
        <w:spacing w:after="20"/>
      </w:pPr>
    </w:p>
    <w:p>
      <w:pPr>
        <w:pStyle w:val="Heading1"/>
      </w:pPr>
      <w:r>
        <w:t>1. Conclusión ejecutiva</w:t>
      </w:r>
    </w:p>
    <w:p>
      <w:r>
        <w:t>El alojamiento básico puede ser barato; el verdadero costo y la incertidumbre están en licencias musicales, trabajo editorial, seguridad, cumplimiento y operación. Por ello el presupuesto debe tener dos puertas: una para un piloto privado sin monetización y otra para producción pública con repertorio autorizado y obligaciones formalizadas.</w:t>
      </w:r>
    </w:p>
    <w:tbl>
      <w:tblPr>
        <w:tblStyle w:val="TableGrid"/>
        <w:tblW w:type="dxa" w:w="9360"/>
        <w:jc w:val="center"/>
        <w:tblLayout w:type="fixed"/>
        <w:tblLook w:firstColumn="1" w:firstRow="1" w:lastColumn="0" w:lastRow="0" w:noHBand="0" w:noVBand="1" w:val="04A0"/>
        <w:tblInd w:w="120" w:type="dxa"/>
      </w:tblPr>
      <w:tblGrid>
        <w:gridCol w:w="2160"/>
        <w:gridCol w:w="2520"/>
        <w:gridCol w:w="2304"/>
        <w:gridCol w:w="2376"/>
      </w:tblGrid>
      <w:tr>
        <w:trPr>
          <w:tblHeader/>
          <w:cantSplit/>
        </w:trPr>
        <w:tc>
          <w:tcPr>
            <w:tcW w:type="dxa" w:w="2160"/>
            <w:shd w:fill="E8EEF5"/>
            <w:tcMar>
              <w:top w:w="80" w:type="dxa"/>
              <w:start w:w="120" w:type="dxa"/>
              <w:bottom w:w="80" w:type="dxa"/>
              <w:end w:w="120" w:type="dxa"/>
            </w:tcMar>
            <w:vAlign w:val="center"/>
          </w:tcPr>
          <w:p>
            <w:r>
              <w:rPr>
                <w:b/>
              </w:rPr>
              <w:t>Escenario</w:t>
            </w:r>
          </w:p>
        </w:tc>
        <w:tc>
          <w:tcPr>
            <w:tcW w:type="dxa" w:w="2520"/>
            <w:shd w:fill="E8EEF5"/>
            <w:tcMar>
              <w:top w:w="80" w:type="dxa"/>
              <w:start w:w="120" w:type="dxa"/>
              <w:bottom w:w="80" w:type="dxa"/>
              <w:end w:w="120" w:type="dxa"/>
            </w:tcMar>
            <w:vAlign w:val="center"/>
          </w:tcPr>
          <w:p>
            <w:r>
              <w:rPr>
                <w:b/>
              </w:rPr>
              <w:t>Costo inicial de planificación</w:t>
            </w:r>
          </w:p>
        </w:tc>
        <w:tc>
          <w:tcPr>
            <w:tcW w:type="dxa" w:w="2304"/>
            <w:shd w:fill="E8EEF5"/>
            <w:tcMar>
              <w:top w:w="80" w:type="dxa"/>
              <w:start w:w="120" w:type="dxa"/>
              <w:bottom w:w="80" w:type="dxa"/>
              <w:end w:w="120" w:type="dxa"/>
            </w:tcMar>
            <w:vAlign w:val="center"/>
          </w:tcPr>
          <w:p>
            <w:r>
              <w:rPr>
                <w:b/>
              </w:rPr>
              <w:t>Costo mensual fijo</w:t>
            </w:r>
          </w:p>
        </w:tc>
        <w:tc>
          <w:tcPr>
            <w:tcW w:type="dxa" w:w="2376"/>
            <w:shd w:fill="E8EEF5"/>
            <w:tcMar>
              <w:top w:w="80" w:type="dxa"/>
              <w:start w:w="120" w:type="dxa"/>
              <w:bottom w:w="80" w:type="dxa"/>
              <w:end w:w="120" w:type="dxa"/>
            </w:tcMar>
            <w:vAlign w:val="center"/>
          </w:tcPr>
          <w:p>
            <w:r>
              <w:rPr>
                <w:b/>
              </w:rPr>
              <w:t>No incluido</w:t>
            </w:r>
          </w:p>
        </w:tc>
      </w:tr>
      <w:tr>
        <w:trPr>
          <w:cantSplit/>
        </w:trPr>
        <w:tc>
          <w:tcPr>
            <w:tcW w:type="dxa" w:w="2160"/>
            <w:tcMar>
              <w:top w:w="80" w:type="dxa"/>
              <w:start w:w="120" w:type="dxa"/>
              <w:bottom w:w="80" w:type="dxa"/>
              <w:end w:w="120" w:type="dxa"/>
            </w:tcMar>
            <w:vAlign w:val="center"/>
          </w:tcPr>
          <w:p>
            <w:pPr>
              <w:spacing w:after="40"/>
            </w:pPr>
            <w:r>
              <w:rPr>
                <w:sz w:val="18"/>
              </w:rPr>
              <w:t>Piloto privado</w:t>
            </w:r>
          </w:p>
        </w:tc>
        <w:tc>
          <w:tcPr>
            <w:tcW w:type="dxa" w:w="2520"/>
            <w:tcMar>
              <w:top w:w="80" w:type="dxa"/>
              <w:start w:w="120" w:type="dxa"/>
              <w:bottom w:w="80" w:type="dxa"/>
              <w:end w:w="120" w:type="dxa"/>
            </w:tcMar>
            <w:vAlign w:val="center"/>
          </w:tcPr>
          <w:p>
            <w:pPr>
              <w:spacing w:after="40"/>
            </w:pPr>
            <w:r>
              <w:rPr>
                <w:sz w:val="18"/>
              </w:rPr>
              <w:t>US$1.000–4.000</w:t>
            </w:r>
          </w:p>
        </w:tc>
        <w:tc>
          <w:tcPr>
            <w:tcW w:type="dxa" w:w="2304"/>
            <w:tcMar>
              <w:top w:w="80" w:type="dxa"/>
              <w:start w:w="120" w:type="dxa"/>
              <w:bottom w:w="80" w:type="dxa"/>
              <w:end w:w="120" w:type="dxa"/>
            </w:tcMar>
            <w:vAlign w:val="center"/>
          </w:tcPr>
          <w:p>
            <w:pPr>
              <w:spacing w:after="40"/>
            </w:pPr>
            <w:r>
              <w:rPr>
                <w:sz w:val="18"/>
              </w:rPr>
              <w:t>US$30–150</w:t>
            </w:r>
          </w:p>
        </w:tc>
        <w:tc>
          <w:tcPr>
            <w:tcW w:type="dxa" w:w="2376"/>
            <w:tcMar>
              <w:top w:w="80" w:type="dxa"/>
              <w:start w:w="120" w:type="dxa"/>
              <w:bottom w:w="80" w:type="dxa"/>
              <w:end w:w="120" w:type="dxa"/>
            </w:tcMar>
            <w:vAlign w:val="center"/>
          </w:tcPr>
          <w:p>
            <w:pPr>
              <w:spacing w:after="40"/>
            </w:pPr>
            <w:r>
              <w:rPr>
                <w:sz w:val="18"/>
              </w:rPr>
              <w:t>Licencias públicas, sociedad, cobros, anuncios.</w:t>
            </w:r>
          </w:p>
        </w:tc>
      </w:tr>
      <w:tr>
        <w:trPr>
          <w:cantSplit/>
        </w:trPr>
        <w:tc>
          <w:tcPr>
            <w:tcW w:type="dxa" w:w="2160"/>
            <w:tcMar>
              <w:top w:w="80" w:type="dxa"/>
              <w:start w:w="120" w:type="dxa"/>
              <w:bottom w:w="80" w:type="dxa"/>
              <w:end w:w="120" w:type="dxa"/>
            </w:tcMar>
            <w:vAlign w:val="center"/>
          </w:tcPr>
          <w:p>
            <w:pPr>
              <w:spacing w:after="40"/>
            </w:pPr>
            <w:r>
              <w:rPr>
                <w:sz w:val="18"/>
              </w:rPr>
              <w:t>Lanzamiento público pequeño</w:t>
            </w:r>
          </w:p>
        </w:tc>
        <w:tc>
          <w:tcPr>
            <w:tcW w:type="dxa" w:w="2520"/>
            <w:tcMar>
              <w:top w:w="80" w:type="dxa"/>
              <w:start w:w="120" w:type="dxa"/>
              <w:bottom w:w="80" w:type="dxa"/>
              <w:end w:w="120" w:type="dxa"/>
            </w:tcMar>
            <w:vAlign w:val="center"/>
          </w:tcPr>
          <w:p>
            <w:pPr>
              <w:spacing w:after="40"/>
            </w:pPr>
            <w:r>
              <w:rPr>
                <w:sz w:val="18"/>
              </w:rPr>
              <w:t>US$5.000–20.000 + licencias</w:t>
            </w:r>
          </w:p>
        </w:tc>
        <w:tc>
          <w:tcPr>
            <w:tcW w:type="dxa" w:w="2304"/>
            <w:tcMar>
              <w:top w:w="80" w:type="dxa"/>
              <w:start w:w="120" w:type="dxa"/>
              <w:bottom w:w="80" w:type="dxa"/>
              <w:end w:w="120" w:type="dxa"/>
            </w:tcMar>
            <w:vAlign w:val="center"/>
          </w:tcPr>
          <w:p>
            <w:pPr>
              <w:spacing w:after="40"/>
            </w:pPr>
            <w:r>
              <w:rPr>
                <w:sz w:val="18"/>
              </w:rPr>
              <w:t>US$250–1.200 + variables</w:t>
            </w:r>
          </w:p>
        </w:tc>
        <w:tc>
          <w:tcPr>
            <w:tcW w:type="dxa" w:w="2376"/>
            <w:tcMar>
              <w:top w:w="80" w:type="dxa"/>
              <w:start w:w="120" w:type="dxa"/>
              <w:bottom w:w="80" w:type="dxa"/>
              <w:end w:w="120" w:type="dxa"/>
            </w:tcMar>
            <w:vAlign w:val="center"/>
          </w:tcPr>
          <w:p>
            <w:pPr>
              <w:spacing w:after="40"/>
            </w:pPr>
            <w:r>
              <w:rPr>
                <w:sz w:val="18"/>
              </w:rPr>
              <w:t>Nómina; regalías/catálogos grandes.</w:t>
            </w:r>
          </w:p>
        </w:tc>
      </w:tr>
      <w:tr>
        <w:trPr>
          <w:cantSplit/>
        </w:trPr>
        <w:tc>
          <w:tcPr>
            <w:tcW w:type="dxa" w:w="2160"/>
            <w:tcMar>
              <w:top w:w="80" w:type="dxa"/>
              <w:start w:w="120" w:type="dxa"/>
              <w:bottom w:w="80" w:type="dxa"/>
              <w:end w:w="120" w:type="dxa"/>
            </w:tcMar>
            <w:vAlign w:val="center"/>
          </w:tcPr>
          <w:p>
            <w:pPr>
              <w:spacing w:after="40"/>
            </w:pPr>
            <w:r>
              <w:rPr>
                <w:sz w:val="18"/>
              </w:rPr>
              <w:t>Operación profesional</w:t>
            </w:r>
          </w:p>
        </w:tc>
        <w:tc>
          <w:tcPr>
            <w:tcW w:type="dxa" w:w="2520"/>
            <w:tcMar>
              <w:top w:w="80" w:type="dxa"/>
              <w:start w:w="120" w:type="dxa"/>
              <w:bottom w:w="80" w:type="dxa"/>
              <w:end w:w="120" w:type="dxa"/>
            </w:tcMar>
            <w:vAlign w:val="center"/>
          </w:tcPr>
          <w:p>
            <w:pPr>
              <w:spacing w:after="40"/>
            </w:pPr>
            <w:r>
              <w:rPr>
                <w:sz w:val="18"/>
              </w:rPr>
              <w:t>US$20.000–75.000 + licencias</w:t>
            </w:r>
          </w:p>
        </w:tc>
        <w:tc>
          <w:tcPr>
            <w:tcW w:type="dxa" w:w="2304"/>
            <w:tcMar>
              <w:top w:w="80" w:type="dxa"/>
              <w:start w:w="120" w:type="dxa"/>
              <w:bottom w:w="80" w:type="dxa"/>
              <w:end w:w="120" w:type="dxa"/>
            </w:tcMar>
            <w:vAlign w:val="center"/>
          </w:tcPr>
          <w:p>
            <w:pPr>
              <w:spacing w:after="40"/>
            </w:pPr>
            <w:r>
              <w:rPr>
                <w:sz w:val="18"/>
              </w:rPr>
              <w:t>US$1.500–8.000 + variables</w:t>
            </w:r>
          </w:p>
        </w:tc>
        <w:tc>
          <w:tcPr>
            <w:tcW w:type="dxa" w:w="2376"/>
            <w:tcMar>
              <w:top w:w="80" w:type="dxa"/>
              <w:start w:w="120" w:type="dxa"/>
              <w:bottom w:w="80" w:type="dxa"/>
              <w:end w:w="120" w:type="dxa"/>
            </w:tcMar>
            <w:vAlign w:val="center"/>
          </w:tcPr>
          <w:p>
            <w:pPr>
              <w:spacing w:after="40"/>
            </w:pPr>
            <w:r>
              <w:rPr>
                <w:sz w:val="18"/>
              </w:rPr>
              <w:t>Equipo amplio y campañas mayores.</w:t>
            </w:r>
          </w:p>
        </w:tc>
      </w:tr>
    </w:tbl>
    <w:p>
      <w:pPr>
        <w:spacing w:after="20"/>
      </w:pPr>
    </w:p>
    <w:p>
      <w:r>
        <w:t>Estos rangos son reservas de planificación creadas para el proyecto, no tarifas oficiales ni cotizaciones. Su función es impedir un lanzamiento con costo cero ficticio. Cada partida se reemplazará por una oferta, contrato o cálculo del contador.</w:t>
      </w:r>
    </w:p>
    <w:p>
      <w:pPr>
        <w:pStyle w:val="Heading1"/>
      </w:pPr>
      <w:r>
        <w:t>2. Principios del modelo financiero</w:t>
      </w:r>
    </w:p>
    <w:p>
      <w:pPr>
        <w:pStyle w:val="ListBullet"/>
      </w:pPr>
      <w:r>
        <w:t>Separar pago bruto, impuesto cobrado, comisión, reembolso/contracargo, depósito neto e ingreso contable.</w:t>
      </w:r>
    </w:p>
    <w:p>
      <w:pPr>
        <w:pStyle w:val="ListBullet"/>
      </w:pPr>
      <w:r>
        <w:t>No tratar aportes o “donaciones” como libres de impuesto sin opinión escrita.</w:t>
      </w:r>
    </w:p>
    <w:p>
      <w:pPr>
        <w:pStyle w:val="ListBullet"/>
      </w:pPr>
      <w:r>
        <w:t>No capitalizar usuarios, canciones o traducciones como ingresos esperados sin datos reales.</w:t>
      </w:r>
    </w:p>
    <w:p>
      <w:pPr>
        <w:pStyle w:val="ListBullet"/>
      </w:pPr>
      <w:r>
        <w:t>Presupuestar derechos por canción y por tipo de uso; ninguna infraestructura compensa la falta de licencia.</w:t>
      </w:r>
    </w:p>
    <w:p>
      <w:pPr>
        <w:pStyle w:val="ListBullet"/>
      </w:pPr>
      <w:r>
        <w:t>Mantener reservas independientes para impuestos, contracargos, incidentes y retiro de contenido.</w:t>
      </w:r>
    </w:p>
    <w:p>
      <w:pPr>
        <w:pStyle w:val="ListBullet"/>
      </w:pPr>
      <w:r>
        <w:t>Medir costo unitario por canción publicada, usuario activo, suscriptor y hora editorial.</w:t>
      </w:r>
    </w:p>
    <w:p>
      <w:pPr>
        <w:pStyle w:val="Heading1"/>
      </w:pPr>
      <w:r>
        <w:t>3. Supuestos para los escenarios</w:t>
      </w:r>
    </w:p>
    <w:tbl>
      <w:tblPr>
        <w:tblStyle w:val="TableGrid"/>
        <w:tblW w:type="dxa" w:w="9360"/>
        <w:jc w:val="center"/>
        <w:tblLayout w:type="fixed"/>
        <w:tblLook w:firstColumn="1" w:firstRow="1" w:lastColumn="0" w:lastRow="0" w:noHBand="0" w:noVBand="1" w:val="04A0"/>
        <w:tblInd w:w="120" w:type="dxa"/>
      </w:tblPr>
      <w:tblGrid>
        <w:gridCol w:w="2448"/>
        <w:gridCol w:w="2232"/>
        <w:gridCol w:w="2232"/>
        <w:gridCol w:w="2448"/>
      </w:tblGrid>
      <w:tr>
        <w:trPr>
          <w:tblHeader/>
          <w:cantSplit/>
        </w:trPr>
        <w:tc>
          <w:tcPr>
            <w:tcW w:type="dxa" w:w="2448"/>
            <w:shd w:fill="E8EEF5"/>
            <w:tcMar>
              <w:top w:w="80" w:type="dxa"/>
              <w:start w:w="120" w:type="dxa"/>
              <w:bottom w:w="80" w:type="dxa"/>
              <w:end w:w="120" w:type="dxa"/>
            </w:tcMar>
            <w:vAlign w:val="center"/>
          </w:tcPr>
          <w:p>
            <w:r>
              <w:rPr>
                <w:b/>
              </w:rPr>
              <w:t>Variable</w:t>
            </w:r>
          </w:p>
        </w:tc>
        <w:tc>
          <w:tcPr>
            <w:tcW w:type="dxa" w:w="2232"/>
            <w:shd w:fill="E8EEF5"/>
            <w:tcMar>
              <w:top w:w="80" w:type="dxa"/>
              <w:start w:w="120" w:type="dxa"/>
              <w:bottom w:w="80" w:type="dxa"/>
              <w:end w:w="120" w:type="dxa"/>
            </w:tcMar>
            <w:vAlign w:val="center"/>
          </w:tcPr>
          <w:p>
            <w:r>
              <w:rPr>
                <w:b/>
              </w:rPr>
              <w:t>Piloto</w:t>
            </w:r>
          </w:p>
        </w:tc>
        <w:tc>
          <w:tcPr>
            <w:tcW w:type="dxa" w:w="2232"/>
            <w:shd w:fill="E8EEF5"/>
            <w:tcMar>
              <w:top w:w="80" w:type="dxa"/>
              <w:start w:w="120" w:type="dxa"/>
              <w:bottom w:w="80" w:type="dxa"/>
              <w:end w:w="120" w:type="dxa"/>
            </w:tcMar>
            <w:vAlign w:val="center"/>
          </w:tcPr>
          <w:p>
            <w:r>
              <w:rPr>
                <w:b/>
              </w:rPr>
              <w:t>Público pequeño</w:t>
            </w:r>
          </w:p>
        </w:tc>
        <w:tc>
          <w:tcPr>
            <w:tcW w:type="dxa" w:w="2448"/>
            <w:shd w:fill="E8EEF5"/>
            <w:tcMar>
              <w:top w:w="80" w:type="dxa"/>
              <w:start w:w="120" w:type="dxa"/>
              <w:bottom w:w="80" w:type="dxa"/>
              <w:end w:w="120" w:type="dxa"/>
            </w:tcMar>
            <w:vAlign w:val="center"/>
          </w:tcPr>
          <w:p>
            <w:r>
              <w:rPr>
                <w:b/>
              </w:rPr>
              <w:t>Profesional</w:t>
            </w:r>
          </w:p>
        </w:tc>
      </w:tr>
      <w:tr>
        <w:trPr>
          <w:cantSplit/>
        </w:trPr>
        <w:tc>
          <w:tcPr>
            <w:tcW w:type="dxa" w:w="2448"/>
            <w:tcMar>
              <w:top w:w="80" w:type="dxa"/>
              <w:start w:w="120" w:type="dxa"/>
              <w:bottom w:w="80" w:type="dxa"/>
              <w:end w:w="120" w:type="dxa"/>
            </w:tcMar>
            <w:vAlign w:val="center"/>
          </w:tcPr>
          <w:p>
            <w:pPr>
              <w:spacing w:after="40"/>
            </w:pPr>
            <w:r>
              <w:rPr>
                <w:sz w:val="18"/>
              </w:rPr>
              <w:t>Canciones activas</w:t>
            </w:r>
          </w:p>
        </w:tc>
        <w:tc>
          <w:tcPr>
            <w:tcW w:type="dxa" w:w="2232"/>
            <w:tcMar>
              <w:top w:w="80" w:type="dxa"/>
              <w:start w:w="120" w:type="dxa"/>
              <w:bottom w:w="80" w:type="dxa"/>
              <w:end w:w="120" w:type="dxa"/>
            </w:tcMar>
            <w:vAlign w:val="center"/>
          </w:tcPr>
          <w:p>
            <w:pPr>
              <w:spacing w:after="40"/>
            </w:pPr>
            <w:r>
              <w:rPr>
                <w:sz w:val="18"/>
              </w:rPr>
              <w:t>10–25 internas</w:t>
            </w:r>
          </w:p>
        </w:tc>
        <w:tc>
          <w:tcPr>
            <w:tcW w:type="dxa" w:w="2232"/>
            <w:tcMar>
              <w:top w:w="80" w:type="dxa"/>
              <w:start w:w="120" w:type="dxa"/>
              <w:bottom w:w="80" w:type="dxa"/>
              <w:end w:w="120" w:type="dxa"/>
            </w:tcMar>
            <w:vAlign w:val="center"/>
          </w:tcPr>
          <w:p>
            <w:pPr>
              <w:spacing w:after="40"/>
            </w:pPr>
            <w:r>
              <w:rPr>
                <w:sz w:val="18"/>
              </w:rPr>
              <w:t>25–100 licenciadas</w:t>
            </w:r>
          </w:p>
        </w:tc>
        <w:tc>
          <w:tcPr>
            <w:tcW w:type="dxa" w:w="2448"/>
            <w:tcMar>
              <w:top w:w="80" w:type="dxa"/>
              <w:start w:w="120" w:type="dxa"/>
              <w:bottom w:w="80" w:type="dxa"/>
              <w:end w:w="120" w:type="dxa"/>
            </w:tcMar>
            <w:vAlign w:val="center"/>
          </w:tcPr>
          <w:p>
            <w:pPr>
              <w:spacing w:after="40"/>
            </w:pPr>
            <w:r>
              <w:rPr>
                <w:sz w:val="18"/>
              </w:rPr>
              <w:t>100–500 licenciadas</w:t>
            </w:r>
          </w:p>
        </w:tc>
      </w:tr>
      <w:tr>
        <w:trPr>
          <w:cantSplit/>
        </w:trPr>
        <w:tc>
          <w:tcPr>
            <w:tcW w:type="dxa" w:w="2448"/>
            <w:tcMar>
              <w:top w:w="80" w:type="dxa"/>
              <w:start w:w="120" w:type="dxa"/>
              <w:bottom w:w="80" w:type="dxa"/>
              <w:end w:w="120" w:type="dxa"/>
            </w:tcMar>
            <w:vAlign w:val="center"/>
          </w:tcPr>
          <w:p>
            <w:pPr>
              <w:spacing w:after="40"/>
            </w:pPr>
            <w:r>
              <w:rPr>
                <w:sz w:val="18"/>
              </w:rPr>
              <w:t>Usuarios activos/mes</w:t>
            </w:r>
          </w:p>
        </w:tc>
        <w:tc>
          <w:tcPr>
            <w:tcW w:type="dxa" w:w="2232"/>
            <w:tcMar>
              <w:top w:w="80" w:type="dxa"/>
              <w:start w:w="120" w:type="dxa"/>
              <w:bottom w:w="80" w:type="dxa"/>
              <w:end w:w="120" w:type="dxa"/>
            </w:tcMar>
            <w:vAlign w:val="center"/>
          </w:tcPr>
          <w:p>
            <w:pPr>
              <w:spacing w:after="40"/>
            </w:pPr>
            <w:r>
              <w:rPr>
                <w:sz w:val="18"/>
              </w:rPr>
              <w:t>&lt;100 invitados</w:t>
            </w:r>
          </w:p>
        </w:tc>
        <w:tc>
          <w:tcPr>
            <w:tcW w:type="dxa" w:w="2232"/>
            <w:tcMar>
              <w:top w:w="80" w:type="dxa"/>
              <w:start w:w="120" w:type="dxa"/>
              <w:bottom w:w="80" w:type="dxa"/>
              <w:end w:w="120" w:type="dxa"/>
            </w:tcMar>
            <w:vAlign w:val="center"/>
          </w:tcPr>
          <w:p>
            <w:pPr>
              <w:spacing w:after="40"/>
            </w:pPr>
            <w:r>
              <w:rPr>
                <w:sz w:val="18"/>
              </w:rPr>
              <w:t>1.000–10.000</w:t>
            </w:r>
          </w:p>
        </w:tc>
        <w:tc>
          <w:tcPr>
            <w:tcW w:type="dxa" w:w="2448"/>
            <w:tcMar>
              <w:top w:w="80" w:type="dxa"/>
              <w:start w:w="120" w:type="dxa"/>
              <w:bottom w:w="80" w:type="dxa"/>
              <w:end w:w="120" w:type="dxa"/>
            </w:tcMar>
            <w:vAlign w:val="center"/>
          </w:tcPr>
          <w:p>
            <w:pPr>
              <w:spacing w:after="40"/>
            </w:pPr>
            <w:r>
              <w:rPr>
                <w:sz w:val="18"/>
              </w:rPr>
              <w:t>10.000–100.000</w:t>
            </w:r>
          </w:p>
        </w:tc>
      </w:tr>
      <w:tr>
        <w:trPr>
          <w:cantSplit/>
        </w:trPr>
        <w:tc>
          <w:tcPr>
            <w:tcW w:type="dxa" w:w="2448"/>
            <w:tcMar>
              <w:top w:w="80" w:type="dxa"/>
              <w:start w:w="120" w:type="dxa"/>
              <w:bottom w:w="80" w:type="dxa"/>
              <w:end w:w="120" w:type="dxa"/>
            </w:tcMar>
            <w:vAlign w:val="center"/>
          </w:tcPr>
          <w:p>
            <w:pPr>
              <w:spacing w:after="40"/>
            </w:pPr>
            <w:r>
              <w:rPr>
                <w:sz w:val="18"/>
              </w:rPr>
              <w:t>Equipo</w:t>
            </w:r>
          </w:p>
        </w:tc>
        <w:tc>
          <w:tcPr>
            <w:tcW w:type="dxa" w:w="2232"/>
            <w:tcMar>
              <w:top w:w="80" w:type="dxa"/>
              <w:start w:w="120" w:type="dxa"/>
              <w:bottom w:w="80" w:type="dxa"/>
              <w:end w:w="120" w:type="dxa"/>
            </w:tcMar>
            <w:vAlign w:val="center"/>
          </w:tcPr>
          <w:p>
            <w:pPr>
              <w:spacing w:after="40"/>
            </w:pPr>
            <w:r>
              <w:rPr>
                <w:sz w:val="18"/>
              </w:rPr>
              <w:t>Fundador + apoyo puntual</w:t>
            </w:r>
          </w:p>
        </w:tc>
        <w:tc>
          <w:tcPr>
            <w:tcW w:type="dxa" w:w="2232"/>
            <w:tcMar>
              <w:top w:w="80" w:type="dxa"/>
              <w:start w:w="120" w:type="dxa"/>
              <w:bottom w:w="80" w:type="dxa"/>
              <w:end w:w="120" w:type="dxa"/>
            </w:tcMar>
            <w:vAlign w:val="center"/>
          </w:tcPr>
          <w:p>
            <w:pPr>
              <w:spacing w:after="40"/>
            </w:pPr>
            <w:r>
              <w:rPr>
                <w:sz w:val="18"/>
              </w:rPr>
              <w:t>Fundador + contratistas</w:t>
            </w:r>
          </w:p>
        </w:tc>
        <w:tc>
          <w:tcPr>
            <w:tcW w:type="dxa" w:w="2448"/>
            <w:tcMar>
              <w:top w:w="80" w:type="dxa"/>
              <w:start w:w="120" w:type="dxa"/>
              <w:bottom w:w="80" w:type="dxa"/>
              <w:end w:w="120" w:type="dxa"/>
            </w:tcMar>
            <w:vAlign w:val="center"/>
          </w:tcPr>
          <w:p>
            <w:pPr>
              <w:spacing w:after="40"/>
            </w:pPr>
            <w:r>
              <w:rPr>
                <w:sz w:val="18"/>
              </w:rPr>
              <w:t>Roles recurrentes</w:t>
            </w:r>
          </w:p>
        </w:tc>
      </w:tr>
      <w:tr>
        <w:trPr>
          <w:cantSplit/>
        </w:trPr>
        <w:tc>
          <w:tcPr>
            <w:tcW w:type="dxa" w:w="2448"/>
            <w:tcMar>
              <w:top w:w="80" w:type="dxa"/>
              <w:start w:w="120" w:type="dxa"/>
              <w:bottom w:w="80" w:type="dxa"/>
              <w:end w:w="120" w:type="dxa"/>
            </w:tcMar>
            <w:vAlign w:val="center"/>
          </w:tcPr>
          <w:p>
            <w:pPr>
              <w:spacing w:after="40"/>
            </w:pPr>
            <w:r>
              <w:rPr>
                <w:sz w:val="18"/>
              </w:rPr>
              <w:t>Cobros</w:t>
            </w:r>
          </w:p>
        </w:tc>
        <w:tc>
          <w:tcPr>
            <w:tcW w:type="dxa" w:w="2232"/>
            <w:tcMar>
              <w:top w:w="80" w:type="dxa"/>
              <w:start w:w="120" w:type="dxa"/>
              <w:bottom w:w="80" w:type="dxa"/>
              <w:end w:w="120" w:type="dxa"/>
            </w:tcMar>
            <w:vAlign w:val="center"/>
          </w:tcPr>
          <w:p>
            <w:pPr>
              <w:spacing w:after="40"/>
            </w:pPr>
            <w:r>
              <w:rPr>
                <w:sz w:val="18"/>
              </w:rPr>
              <w:t>No</w:t>
            </w:r>
          </w:p>
        </w:tc>
        <w:tc>
          <w:tcPr>
            <w:tcW w:type="dxa" w:w="2232"/>
            <w:tcMar>
              <w:top w:w="80" w:type="dxa"/>
              <w:start w:w="120" w:type="dxa"/>
              <w:bottom w:w="80" w:type="dxa"/>
              <w:end w:w="120" w:type="dxa"/>
            </w:tcMar>
            <w:vAlign w:val="center"/>
          </w:tcPr>
          <w:p>
            <w:pPr>
              <w:spacing w:after="40"/>
            </w:pPr>
            <w:r>
              <w:rPr>
                <w:sz w:val="18"/>
              </w:rPr>
              <w:t>Opcional después de validación</w:t>
            </w:r>
          </w:p>
        </w:tc>
        <w:tc>
          <w:tcPr>
            <w:tcW w:type="dxa" w:w="2448"/>
            <w:tcMar>
              <w:top w:w="80" w:type="dxa"/>
              <w:start w:w="120" w:type="dxa"/>
              <w:bottom w:w="80" w:type="dxa"/>
              <w:end w:w="120" w:type="dxa"/>
            </w:tcMar>
            <w:vAlign w:val="center"/>
          </w:tcPr>
          <w:p>
            <w:pPr>
              <w:spacing w:after="40"/>
            </w:pPr>
            <w:r>
              <w:rPr>
                <w:sz w:val="18"/>
              </w:rPr>
              <w:t>Suscripción/anuncios/patrocinios</w:t>
            </w:r>
          </w:p>
        </w:tc>
      </w:tr>
      <w:tr>
        <w:trPr>
          <w:cantSplit/>
        </w:trPr>
        <w:tc>
          <w:tcPr>
            <w:tcW w:type="dxa" w:w="2448"/>
            <w:tcMar>
              <w:top w:w="80" w:type="dxa"/>
              <w:start w:w="120" w:type="dxa"/>
              <w:bottom w:w="80" w:type="dxa"/>
              <w:end w:w="120" w:type="dxa"/>
            </w:tcMar>
            <w:vAlign w:val="center"/>
          </w:tcPr>
          <w:p>
            <w:pPr>
              <w:spacing w:after="40"/>
            </w:pPr>
            <w:r>
              <w:rPr>
                <w:sz w:val="18"/>
              </w:rPr>
              <w:t>Disponibilidad</w:t>
            </w:r>
          </w:p>
        </w:tc>
        <w:tc>
          <w:tcPr>
            <w:tcW w:type="dxa" w:w="2232"/>
            <w:tcMar>
              <w:top w:w="80" w:type="dxa"/>
              <w:start w:w="120" w:type="dxa"/>
              <w:bottom w:w="80" w:type="dxa"/>
              <w:end w:w="120" w:type="dxa"/>
            </w:tcMar>
            <w:vAlign w:val="center"/>
          </w:tcPr>
          <w:p>
            <w:pPr>
              <w:spacing w:after="40"/>
            </w:pPr>
            <w:r>
              <w:rPr>
                <w:sz w:val="18"/>
              </w:rPr>
              <w:t>Mejor esfuerzo</w:t>
            </w:r>
          </w:p>
        </w:tc>
        <w:tc>
          <w:tcPr>
            <w:tcW w:type="dxa" w:w="2232"/>
            <w:tcMar>
              <w:top w:w="80" w:type="dxa"/>
              <w:start w:w="120" w:type="dxa"/>
              <w:bottom w:w="80" w:type="dxa"/>
              <w:end w:w="120" w:type="dxa"/>
            </w:tcMar>
            <w:vAlign w:val="center"/>
          </w:tcPr>
          <w:p>
            <w:pPr>
              <w:spacing w:after="40"/>
            </w:pPr>
            <w:r>
              <w:rPr>
                <w:sz w:val="18"/>
              </w:rPr>
              <w:t>Backups y soporte básico</w:t>
            </w:r>
          </w:p>
        </w:tc>
        <w:tc>
          <w:tcPr>
            <w:tcW w:type="dxa" w:w="2448"/>
            <w:tcMar>
              <w:top w:w="80" w:type="dxa"/>
              <w:start w:w="120" w:type="dxa"/>
              <w:bottom w:w="80" w:type="dxa"/>
              <w:end w:w="120" w:type="dxa"/>
            </w:tcMar>
            <w:vAlign w:val="center"/>
          </w:tcPr>
          <w:p>
            <w:pPr>
              <w:spacing w:after="40"/>
            </w:pPr>
            <w:r>
              <w:rPr>
                <w:sz w:val="18"/>
              </w:rPr>
              <w:t>SLO, monitoreo y guardias</w:t>
            </w:r>
          </w:p>
        </w:tc>
      </w:tr>
      <w:tr>
        <w:trPr>
          <w:cantSplit/>
        </w:trPr>
        <w:tc>
          <w:tcPr>
            <w:tcW w:type="dxa" w:w="2448"/>
            <w:tcMar>
              <w:top w:w="80" w:type="dxa"/>
              <w:start w:w="120" w:type="dxa"/>
              <w:bottom w:w="80" w:type="dxa"/>
              <w:end w:w="120" w:type="dxa"/>
            </w:tcMar>
            <w:vAlign w:val="center"/>
          </w:tcPr>
          <w:p>
            <w:pPr>
              <w:spacing w:after="40"/>
            </w:pPr>
            <w:r>
              <w:rPr>
                <w:sz w:val="18"/>
              </w:rPr>
              <w:t>Moderación</w:t>
            </w:r>
          </w:p>
        </w:tc>
        <w:tc>
          <w:tcPr>
            <w:tcW w:type="dxa" w:w="2232"/>
            <w:tcMar>
              <w:top w:w="80" w:type="dxa"/>
              <w:start w:w="120" w:type="dxa"/>
              <w:bottom w:w="80" w:type="dxa"/>
              <w:end w:w="120" w:type="dxa"/>
            </w:tcMar>
            <w:vAlign w:val="center"/>
          </w:tcPr>
          <w:p>
            <w:pPr>
              <w:spacing w:after="40"/>
            </w:pPr>
            <w:r>
              <w:rPr>
                <w:sz w:val="18"/>
              </w:rPr>
              <w:t>Sin UGC público</w:t>
            </w:r>
          </w:p>
        </w:tc>
        <w:tc>
          <w:tcPr>
            <w:tcW w:type="dxa" w:w="2232"/>
            <w:tcMar>
              <w:top w:w="80" w:type="dxa"/>
              <w:start w:w="120" w:type="dxa"/>
              <w:bottom w:w="80" w:type="dxa"/>
              <w:end w:w="120" w:type="dxa"/>
            </w:tcMar>
            <w:vAlign w:val="center"/>
          </w:tcPr>
          <w:p>
            <w:pPr>
              <w:spacing w:after="40"/>
            </w:pPr>
            <w:r>
              <w:rPr>
                <w:sz w:val="18"/>
              </w:rPr>
              <w:t>Sin UGC público</w:t>
            </w:r>
          </w:p>
        </w:tc>
        <w:tc>
          <w:tcPr>
            <w:tcW w:type="dxa" w:w="2448"/>
            <w:tcMar>
              <w:top w:w="80" w:type="dxa"/>
              <w:start w:w="120" w:type="dxa"/>
              <w:bottom w:w="80" w:type="dxa"/>
              <w:end w:w="120" w:type="dxa"/>
            </w:tcMar>
            <w:vAlign w:val="center"/>
          </w:tcPr>
          <w:p>
            <w:pPr>
              <w:spacing w:after="40"/>
            </w:pPr>
            <w:r>
              <w:rPr>
                <w:sz w:val="18"/>
              </w:rPr>
              <w:t>Solo participación controlada</w:t>
            </w:r>
          </w:p>
        </w:tc>
      </w:tr>
    </w:tbl>
    <w:p>
      <w:pPr>
        <w:spacing w:after="20"/>
      </w:pPr>
    </w:p>
    <w:p>
      <w:pPr>
        <w:pStyle w:val="Heading1"/>
      </w:pPr>
      <w:r>
        <w:t>4. Presupuesto de puesta en marcha</w:t>
      </w:r>
    </w:p>
    <w:tbl>
      <w:tblPr>
        <w:tblStyle w:val="TableGrid"/>
        <w:tblW w:type="dxa" w:w="9360"/>
        <w:jc w:val="center"/>
        <w:tblLayout w:type="fixed"/>
        <w:tblLook w:firstColumn="1" w:firstRow="1" w:lastColumn="0" w:lastRow="0" w:noHBand="0" w:noVBand="1" w:val="04A0"/>
        <w:tblInd w:w="120" w:type="dxa"/>
      </w:tblPr>
      <w:tblGrid>
        <w:gridCol w:w="2044"/>
        <w:gridCol w:w="1036"/>
        <w:gridCol w:w="1368"/>
        <w:gridCol w:w="1440"/>
        <w:gridCol w:w="3470"/>
      </w:tblGrid>
      <w:tr>
        <w:trPr>
          <w:tblHeader/>
          <w:cantSplit/>
        </w:trPr>
        <w:tc>
          <w:tcPr>
            <w:tcW w:type="dxa" w:w="2044"/>
            <w:shd w:fill="E8EEF5"/>
            <w:tcMar>
              <w:top w:w="80" w:type="dxa"/>
              <w:start w:w="120" w:type="dxa"/>
              <w:bottom w:w="80" w:type="dxa"/>
              <w:end w:w="120" w:type="dxa"/>
            </w:tcMar>
            <w:vAlign w:val="center"/>
          </w:tcPr>
          <w:p>
            <w:r>
              <w:rPr>
                <w:b/>
              </w:rPr>
              <w:t>Partida</w:t>
            </w:r>
          </w:p>
        </w:tc>
        <w:tc>
          <w:tcPr>
            <w:tcW w:type="dxa" w:w="1036"/>
            <w:shd w:fill="E8EEF5"/>
            <w:tcMar>
              <w:top w:w="80" w:type="dxa"/>
              <w:start w:w="120" w:type="dxa"/>
              <w:bottom w:w="80" w:type="dxa"/>
              <w:end w:w="120" w:type="dxa"/>
            </w:tcMar>
            <w:vAlign w:val="center"/>
          </w:tcPr>
          <w:p>
            <w:r>
              <w:rPr>
                <w:b/>
              </w:rPr>
              <w:t>Piloto</w:t>
            </w:r>
          </w:p>
        </w:tc>
        <w:tc>
          <w:tcPr>
            <w:tcW w:type="dxa" w:w="1368"/>
            <w:shd w:fill="E8EEF5"/>
            <w:tcMar>
              <w:top w:w="80" w:type="dxa"/>
              <w:start w:w="120" w:type="dxa"/>
              <w:bottom w:w="80" w:type="dxa"/>
              <w:end w:w="120" w:type="dxa"/>
            </w:tcMar>
            <w:vAlign w:val="center"/>
          </w:tcPr>
          <w:p>
            <w:r>
              <w:rPr>
                <w:b/>
              </w:rPr>
              <w:t>Público pequeño</w:t>
            </w:r>
          </w:p>
        </w:tc>
        <w:tc>
          <w:tcPr>
            <w:tcW w:type="dxa" w:w="1440"/>
            <w:shd w:fill="E8EEF5"/>
            <w:tcMar>
              <w:top w:w="80" w:type="dxa"/>
              <w:start w:w="120" w:type="dxa"/>
              <w:bottom w:w="80" w:type="dxa"/>
              <w:end w:w="120" w:type="dxa"/>
            </w:tcMar>
            <w:vAlign w:val="center"/>
          </w:tcPr>
          <w:p>
            <w:r>
              <w:rPr>
                <w:b/>
              </w:rPr>
              <w:t>Profesional</w:t>
            </w:r>
          </w:p>
        </w:tc>
        <w:tc>
          <w:tcPr>
            <w:tcW w:type="dxa" w:w="3470"/>
            <w:shd w:fill="E8EEF5"/>
            <w:tcMar>
              <w:top w:w="80" w:type="dxa"/>
              <w:start w:w="120" w:type="dxa"/>
              <w:bottom w:w="80" w:type="dxa"/>
              <w:end w:w="120" w:type="dxa"/>
            </w:tcMar>
            <w:vAlign w:val="center"/>
          </w:tcPr>
          <w:p>
            <w:r>
              <w:rPr>
                <w:b/>
              </w:rPr>
              <w:t>Base de estimación</w:t>
            </w:r>
          </w:p>
        </w:tc>
      </w:tr>
      <w:tr>
        <w:trPr>
          <w:cantSplit/>
        </w:trPr>
        <w:tc>
          <w:tcPr>
            <w:tcW w:type="dxa" w:w="2044"/>
            <w:tcMar>
              <w:top w:w="80" w:type="dxa"/>
              <w:start w:w="120" w:type="dxa"/>
              <w:bottom w:w="80" w:type="dxa"/>
              <w:end w:w="120" w:type="dxa"/>
            </w:tcMar>
            <w:vAlign w:val="center"/>
          </w:tcPr>
          <w:p>
            <w:pPr>
              <w:spacing w:after="40"/>
            </w:pPr>
            <w:r>
              <w:rPr>
                <w:sz w:val="18"/>
              </w:rPr>
              <w:t>Revisión legal/estructura</w:t>
            </w:r>
          </w:p>
        </w:tc>
        <w:tc>
          <w:tcPr>
            <w:tcW w:type="dxa" w:w="1036"/>
            <w:tcMar>
              <w:top w:w="80" w:type="dxa"/>
              <w:start w:w="120" w:type="dxa"/>
              <w:bottom w:w="80" w:type="dxa"/>
              <w:end w:w="120" w:type="dxa"/>
            </w:tcMar>
            <w:vAlign w:val="center"/>
          </w:tcPr>
          <w:p>
            <w:pPr>
              <w:spacing w:after="40"/>
            </w:pPr>
            <w:r>
              <w:rPr>
                <w:sz w:val="18"/>
              </w:rPr>
              <w:t>500–1.500</w:t>
            </w:r>
          </w:p>
        </w:tc>
        <w:tc>
          <w:tcPr>
            <w:tcW w:type="dxa" w:w="1368"/>
            <w:tcMar>
              <w:top w:w="80" w:type="dxa"/>
              <w:start w:w="120" w:type="dxa"/>
              <w:bottom w:w="80" w:type="dxa"/>
              <w:end w:w="120" w:type="dxa"/>
            </w:tcMar>
            <w:vAlign w:val="center"/>
          </w:tcPr>
          <w:p>
            <w:pPr>
              <w:spacing w:after="40"/>
            </w:pPr>
            <w:r>
              <w:rPr>
                <w:sz w:val="18"/>
              </w:rPr>
              <w:t>2.000–6.000</w:t>
            </w:r>
          </w:p>
        </w:tc>
        <w:tc>
          <w:tcPr>
            <w:tcW w:type="dxa" w:w="1440"/>
            <w:tcMar>
              <w:top w:w="80" w:type="dxa"/>
              <w:start w:w="120" w:type="dxa"/>
              <w:bottom w:w="80" w:type="dxa"/>
              <w:end w:w="120" w:type="dxa"/>
            </w:tcMar>
            <w:vAlign w:val="center"/>
          </w:tcPr>
          <w:p>
            <w:pPr>
              <w:spacing w:after="40"/>
            </w:pPr>
            <w:r>
              <w:rPr>
                <w:sz w:val="18"/>
              </w:rPr>
              <w:t>6.000–20.000</w:t>
            </w:r>
          </w:p>
        </w:tc>
        <w:tc>
          <w:tcPr>
            <w:tcW w:type="dxa" w:w="3470"/>
            <w:tcMar>
              <w:top w:w="80" w:type="dxa"/>
              <w:start w:w="120" w:type="dxa"/>
              <w:bottom w:w="80" w:type="dxa"/>
              <w:end w:w="120" w:type="dxa"/>
            </w:tcMar>
            <w:vAlign w:val="center"/>
          </w:tcPr>
          <w:p>
            <w:pPr>
              <w:spacing w:after="40"/>
            </w:pPr>
            <w:r>
              <w:rPr>
                <w:sz w:val="18"/>
              </w:rPr>
              <w:t>Reserva; cotizar abogado CR + PI.</w:t>
            </w:r>
          </w:p>
        </w:tc>
      </w:tr>
      <w:tr>
        <w:trPr>
          <w:cantSplit/>
        </w:trPr>
        <w:tc>
          <w:tcPr>
            <w:tcW w:type="dxa" w:w="2044"/>
            <w:tcMar>
              <w:top w:w="80" w:type="dxa"/>
              <w:start w:w="120" w:type="dxa"/>
              <w:bottom w:w="80" w:type="dxa"/>
              <w:end w:w="120" w:type="dxa"/>
            </w:tcMar>
            <w:vAlign w:val="center"/>
          </w:tcPr>
          <w:p>
            <w:pPr>
              <w:spacing w:after="40"/>
            </w:pPr>
            <w:r>
              <w:rPr>
                <w:sz w:val="18"/>
              </w:rPr>
              <w:t>Contabilidad/alta</w:t>
            </w:r>
          </w:p>
        </w:tc>
        <w:tc>
          <w:tcPr>
            <w:tcW w:type="dxa" w:w="1036"/>
            <w:tcMar>
              <w:top w:w="80" w:type="dxa"/>
              <w:start w:w="120" w:type="dxa"/>
              <w:bottom w:w="80" w:type="dxa"/>
              <w:end w:w="120" w:type="dxa"/>
            </w:tcMar>
            <w:vAlign w:val="center"/>
          </w:tcPr>
          <w:p>
            <w:pPr>
              <w:spacing w:after="40"/>
            </w:pPr>
            <w:r>
              <w:rPr>
                <w:sz w:val="18"/>
              </w:rPr>
              <w:t>150–500</w:t>
            </w:r>
          </w:p>
        </w:tc>
        <w:tc>
          <w:tcPr>
            <w:tcW w:type="dxa" w:w="1368"/>
            <w:tcMar>
              <w:top w:w="80" w:type="dxa"/>
              <w:start w:w="120" w:type="dxa"/>
              <w:bottom w:w="80" w:type="dxa"/>
              <w:end w:w="120" w:type="dxa"/>
            </w:tcMar>
            <w:vAlign w:val="center"/>
          </w:tcPr>
          <w:p>
            <w:pPr>
              <w:spacing w:after="40"/>
            </w:pPr>
            <w:r>
              <w:rPr>
                <w:sz w:val="18"/>
              </w:rPr>
              <w:t>500–1.500</w:t>
            </w:r>
          </w:p>
        </w:tc>
        <w:tc>
          <w:tcPr>
            <w:tcW w:type="dxa" w:w="1440"/>
            <w:tcMar>
              <w:top w:w="80" w:type="dxa"/>
              <w:start w:w="120" w:type="dxa"/>
              <w:bottom w:w="80" w:type="dxa"/>
              <w:end w:w="120" w:type="dxa"/>
            </w:tcMar>
            <w:vAlign w:val="center"/>
          </w:tcPr>
          <w:p>
            <w:pPr>
              <w:spacing w:after="40"/>
            </w:pPr>
            <w:r>
              <w:rPr>
                <w:sz w:val="18"/>
              </w:rPr>
              <w:t>1.500–4.000</w:t>
            </w:r>
          </w:p>
        </w:tc>
        <w:tc>
          <w:tcPr>
            <w:tcW w:type="dxa" w:w="3470"/>
            <w:tcMar>
              <w:top w:w="80" w:type="dxa"/>
              <w:start w:w="120" w:type="dxa"/>
              <w:bottom w:w="80" w:type="dxa"/>
              <w:end w:w="120" w:type="dxa"/>
            </w:tcMar>
            <w:vAlign w:val="center"/>
          </w:tcPr>
          <w:p>
            <w:pPr>
              <w:spacing w:after="40"/>
            </w:pPr>
            <w:r>
              <w:rPr>
                <w:sz w:val="18"/>
              </w:rPr>
              <w:t>Reserva; depende de figura y cantón.</w:t>
            </w:r>
          </w:p>
        </w:tc>
      </w:tr>
      <w:tr>
        <w:trPr>
          <w:cantSplit/>
        </w:trPr>
        <w:tc>
          <w:tcPr>
            <w:tcW w:type="dxa" w:w="2044"/>
            <w:tcMar>
              <w:top w:w="80" w:type="dxa"/>
              <w:start w:w="120" w:type="dxa"/>
              <w:bottom w:w="80" w:type="dxa"/>
              <w:end w:w="120" w:type="dxa"/>
            </w:tcMar>
            <w:vAlign w:val="center"/>
          </w:tcPr>
          <w:p>
            <w:pPr>
              <w:spacing w:after="40"/>
            </w:pPr>
            <w:r>
              <w:rPr>
                <w:sz w:val="18"/>
              </w:rPr>
              <w:t>Constitución societaria</w:t>
            </w:r>
          </w:p>
        </w:tc>
        <w:tc>
          <w:tcPr>
            <w:tcW w:type="dxa" w:w="1036"/>
            <w:tcMar>
              <w:top w:w="80" w:type="dxa"/>
              <w:start w:w="120" w:type="dxa"/>
              <w:bottom w:w="80" w:type="dxa"/>
              <w:end w:w="120" w:type="dxa"/>
            </w:tcMar>
            <w:vAlign w:val="center"/>
          </w:tcPr>
          <w:p>
            <w:pPr>
              <w:spacing w:after="40"/>
            </w:pPr>
            <w:r>
              <w:rPr>
                <w:sz w:val="18"/>
              </w:rPr>
              <w:t>0</w:t>
            </w:r>
          </w:p>
        </w:tc>
        <w:tc>
          <w:tcPr>
            <w:tcW w:type="dxa" w:w="1368"/>
            <w:tcMar>
              <w:top w:w="80" w:type="dxa"/>
              <w:start w:w="120" w:type="dxa"/>
              <w:bottom w:w="80" w:type="dxa"/>
              <w:end w:w="120" w:type="dxa"/>
            </w:tcMar>
            <w:vAlign w:val="center"/>
          </w:tcPr>
          <w:p>
            <w:pPr>
              <w:spacing w:after="40"/>
            </w:pPr>
            <w:r>
              <w:rPr>
                <w:sz w:val="18"/>
              </w:rPr>
              <w:t>0–2.000</w:t>
            </w:r>
          </w:p>
        </w:tc>
        <w:tc>
          <w:tcPr>
            <w:tcW w:type="dxa" w:w="1440"/>
            <w:tcMar>
              <w:top w:w="80" w:type="dxa"/>
              <w:start w:w="120" w:type="dxa"/>
              <w:bottom w:w="80" w:type="dxa"/>
              <w:end w:w="120" w:type="dxa"/>
            </w:tcMar>
            <w:vAlign w:val="center"/>
          </w:tcPr>
          <w:p>
            <w:pPr>
              <w:spacing w:after="40"/>
            </w:pPr>
            <w:r>
              <w:rPr>
                <w:sz w:val="18"/>
              </w:rPr>
              <w:t>1.000–3.000</w:t>
            </w:r>
          </w:p>
        </w:tc>
        <w:tc>
          <w:tcPr>
            <w:tcW w:type="dxa" w:w="3470"/>
            <w:tcMar>
              <w:top w:w="80" w:type="dxa"/>
              <w:start w:w="120" w:type="dxa"/>
              <w:bottom w:w="80" w:type="dxa"/>
              <w:end w:w="120" w:type="dxa"/>
            </w:tcMar>
            <w:vAlign w:val="center"/>
          </w:tcPr>
          <w:p>
            <w:pPr>
              <w:spacing w:after="40"/>
            </w:pPr>
            <w:r>
              <w:rPr>
                <w:sz w:val="18"/>
              </w:rPr>
              <w:t>Opcional; arancel oficial es solo una parte.</w:t>
            </w:r>
          </w:p>
        </w:tc>
      </w:tr>
      <w:tr>
        <w:trPr>
          <w:cantSplit/>
        </w:trPr>
        <w:tc>
          <w:tcPr>
            <w:tcW w:type="dxa" w:w="2044"/>
            <w:tcMar>
              <w:top w:w="80" w:type="dxa"/>
              <w:start w:w="120" w:type="dxa"/>
              <w:bottom w:w="80" w:type="dxa"/>
              <w:end w:w="120" w:type="dxa"/>
            </w:tcMar>
            <w:vAlign w:val="center"/>
          </w:tcPr>
          <w:p>
            <w:pPr>
              <w:spacing w:after="40"/>
            </w:pPr>
            <w:r>
              <w:rPr>
                <w:sz w:val="18"/>
              </w:rPr>
              <w:t>Marca/dominios</w:t>
            </w:r>
          </w:p>
        </w:tc>
        <w:tc>
          <w:tcPr>
            <w:tcW w:type="dxa" w:w="1036"/>
            <w:tcMar>
              <w:top w:w="80" w:type="dxa"/>
              <w:start w:w="120" w:type="dxa"/>
              <w:bottom w:w="80" w:type="dxa"/>
              <w:end w:w="120" w:type="dxa"/>
            </w:tcMar>
            <w:vAlign w:val="center"/>
          </w:tcPr>
          <w:p>
            <w:pPr>
              <w:spacing w:after="40"/>
            </w:pPr>
            <w:r>
              <w:rPr>
                <w:sz w:val="18"/>
              </w:rPr>
              <w:t>30–250</w:t>
            </w:r>
          </w:p>
        </w:tc>
        <w:tc>
          <w:tcPr>
            <w:tcW w:type="dxa" w:w="1368"/>
            <w:tcMar>
              <w:top w:w="80" w:type="dxa"/>
              <w:start w:w="120" w:type="dxa"/>
              <w:bottom w:w="80" w:type="dxa"/>
              <w:end w:w="120" w:type="dxa"/>
            </w:tcMar>
            <w:vAlign w:val="center"/>
          </w:tcPr>
          <w:p>
            <w:pPr>
              <w:spacing w:after="40"/>
            </w:pPr>
            <w:r>
              <w:rPr>
                <w:sz w:val="18"/>
              </w:rPr>
              <w:t>250–1.500</w:t>
            </w:r>
          </w:p>
        </w:tc>
        <w:tc>
          <w:tcPr>
            <w:tcW w:type="dxa" w:w="1440"/>
            <w:tcMar>
              <w:top w:w="80" w:type="dxa"/>
              <w:start w:w="120" w:type="dxa"/>
              <w:bottom w:w="80" w:type="dxa"/>
              <w:end w:w="120" w:type="dxa"/>
            </w:tcMar>
            <w:vAlign w:val="center"/>
          </w:tcPr>
          <w:p>
            <w:pPr>
              <w:spacing w:after="40"/>
            </w:pPr>
            <w:r>
              <w:rPr>
                <w:sz w:val="18"/>
              </w:rPr>
              <w:t>500–3.000</w:t>
            </w:r>
          </w:p>
        </w:tc>
        <w:tc>
          <w:tcPr>
            <w:tcW w:type="dxa" w:w="3470"/>
            <w:tcMar>
              <w:top w:w="80" w:type="dxa"/>
              <w:start w:w="120" w:type="dxa"/>
              <w:bottom w:w="80" w:type="dxa"/>
              <w:end w:w="120" w:type="dxa"/>
            </w:tcMar>
            <w:vAlign w:val="center"/>
          </w:tcPr>
          <w:p>
            <w:pPr>
              <w:spacing w:after="40"/>
            </w:pPr>
            <w:r>
              <w:rPr>
                <w:sz w:val="18"/>
              </w:rPr>
              <w:t>Clases, búsquedas y honorarios.</w:t>
            </w:r>
          </w:p>
        </w:tc>
      </w:tr>
      <w:tr>
        <w:trPr>
          <w:cantSplit/>
        </w:trPr>
        <w:tc>
          <w:tcPr>
            <w:tcW w:type="dxa" w:w="2044"/>
            <w:tcMar>
              <w:top w:w="80" w:type="dxa"/>
              <w:start w:w="120" w:type="dxa"/>
              <w:bottom w:w="80" w:type="dxa"/>
              <w:end w:w="120" w:type="dxa"/>
            </w:tcMar>
            <w:vAlign w:val="center"/>
          </w:tcPr>
          <w:p>
            <w:pPr>
              <w:spacing w:after="40"/>
            </w:pPr>
            <w:r>
              <w:rPr>
                <w:sz w:val="18"/>
              </w:rPr>
              <w:t>Licencias repertorio</w:t>
            </w:r>
          </w:p>
        </w:tc>
        <w:tc>
          <w:tcPr>
            <w:tcW w:type="dxa" w:w="1036"/>
            <w:tcMar>
              <w:top w:w="80" w:type="dxa"/>
              <w:start w:w="120" w:type="dxa"/>
              <w:bottom w:w="80" w:type="dxa"/>
              <w:end w:w="120" w:type="dxa"/>
            </w:tcMar>
            <w:vAlign w:val="center"/>
          </w:tcPr>
          <w:p>
            <w:pPr>
              <w:spacing w:after="40"/>
            </w:pPr>
            <w:r>
              <w:rPr>
                <w:sz w:val="18"/>
              </w:rPr>
              <w:t>0 público</w:t>
            </w:r>
          </w:p>
        </w:tc>
        <w:tc>
          <w:tcPr>
            <w:tcW w:type="dxa" w:w="1368"/>
            <w:tcMar>
              <w:top w:w="80" w:type="dxa"/>
              <w:start w:w="120" w:type="dxa"/>
              <w:bottom w:w="80" w:type="dxa"/>
              <w:end w:w="120" w:type="dxa"/>
            </w:tcMar>
            <w:vAlign w:val="center"/>
          </w:tcPr>
          <w:p>
            <w:pPr>
              <w:spacing w:after="40"/>
            </w:pPr>
            <w:r>
              <w:rPr>
                <w:sz w:val="18"/>
              </w:rPr>
              <w:t>POR COTIZAR</w:t>
            </w:r>
          </w:p>
        </w:tc>
        <w:tc>
          <w:tcPr>
            <w:tcW w:type="dxa" w:w="1440"/>
            <w:tcMar>
              <w:top w:w="80" w:type="dxa"/>
              <w:start w:w="120" w:type="dxa"/>
              <w:bottom w:w="80" w:type="dxa"/>
              <w:end w:w="120" w:type="dxa"/>
            </w:tcMar>
            <w:vAlign w:val="center"/>
          </w:tcPr>
          <w:p>
            <w:pPr>
              <w:spacing w:after="40"/>
            </w:pPr>
            <w:r>
              <w:rPr>
                <w:sz w:val="18"/>
              </w:rPr>
              <w:t>POR COTIZAR</w:t>
            </w:r>
          </w:p>
        </w:tc>
        <w:tc>
          <w:tcPr>
            <w:tcW w:type="dxa" w:w="3470"/>
            <w:tcMar>
              <w:top w:w="80" w:type="dxa"/>
              <w:start w:w="120" w:type="dxa"/>
              <w:bottom w:w="80" w:type="dxa"/>
              <w:end w:w="120" w:type="dxa"/>
            </w:tcMar>
            <w:vAlign w:val="center"/>
          </w:tcPr>
          <w:p>
            <w:pPr>
              <w:spacing w:after="40"/>
            </w:pPr>
            <w:r>
              <w:rPr>
                <w:sz w:val="18"/>
              </w:rPr>
              <w:t>Titulares, usos, territorios y mínimo.</w:t>
            </w:r>
          </w:p>
        </w:tc>
      </w:tr>
      <w:tr>
        <w:trPr>
          <w:cantSplit/>
        </w:trPr>
        <w:tc>
          <w:tcPr>
            <w:tcW w:type="dxa" w:w="2044"/>
            <w:tcMar>
              <w:top w:w="80" w:type="dxa"/>
              <w:start w:w="120" w:type="dxa"/>
              <w:bottom w:w="80" w:type="dxa"/>
              <w:end w:w="120" w:type="dxa"/>
            </w:tcMar>
            <w:vAlign w:val="center"/>
          </w:tcPr>
          <w:p>
            <w:pPr>
              <w:spacing w:after="40"/>
            </w:pPr>
            <w:r>
              <w:rPr>
                <w:sz w:val="18"/>
              </w:rPr>
              <w:t>Contratos de traductores</w:t>
            </w:r>
          </w:p>
        </w:tc>
        <w:tc>
          <w:tcPr>
            <w:tcW w:type="dxa" w:w="1036"/>
            <w:tcMar>
              <w:top w:w="80" w:type="dxa"/>
              <w:start w:w="120" w:type="dxa"/>
              <w:bottom w:w="80" w:type="dxa"/>
              <w:end w:w="120" w:type="dxa"/>
            </w:tcMar>
            <w:vAlign w:val="center"/>
          </w:tcPr>
          <w:p>
            <w:pPr>
              <w:spacing w:after="40"/>
            </w:pPr>
            <w:r>
              <w:rPr>
                <w:sz w:val="18"/>
              </w:rPr>
              <w:t>100–500</w:t>
            </w:r>
          </w:p>
        </w:tc>
        <w:tc>
          <w:tcPr>
            <w:tcW w:type="dxa" w:w="1368"/>
            <w:tcMar>
              <w:top w:w="80" w:type="dxa"/>
              <w:start w:w="120" w:type="dxa"/>
              <w:bottom w:w="80" w:type="dxa"/>
              <w:end w:w="120" w:type="dxa"/>
            </w:tcMar>
            <w:vAlign w:val="center"/>
          </w:tcPr>
          <w:p>
            <w:pPr>
              <w:spacing w:after="40"/>
            </w:pPr>
            <w:r>
              <w:rPr>
                <w:sz w:val="18"/>
              </w:rPr>
              <w:t>500–2.000</w:t>
            </w:r>
          </w:p>
        </w:tc>
        <w:tc>
          <w:tcPr>
            <w:tcW w:type="dxa" w:w="1440"/>
            <w:tcMar>
              <w:top w:w="80" w:type="dxa"/>
              <w:start w:w="120" w:type="dxa"/>
              <w:bottom w:w="80" w:type="dxa"/>
              <w:end w:w="120" w:type="dxa"/>
            </w:tcMar>
            <w:vAlign w:val="center"/>
          </w:tcPr>
          <w:p>
            <w:pPr>
              <w:spacing w:after="40"/>
            </w:pPr>
            <w:r>
              <w:rPr>
                <w:sz w:val="18"/>
              </w:rPr>
              <w:t>2.000–8.000</w:t>
            </w:r>
          </w:p>
        </w:tc>
        <w:tc>
          <w:tcPr>
            <w:tcW w:type="dxa" w:w="3470"/>
            <w:tcMar>
              <w:top w:w="80" w:type="dxa"/>
              <w:start w:w="120" w:type="dxa"/>
              <w:bottom w:w="80" w:type="dxa"/>
              <w:end w:w="120" w:type="dxa"/>
            </w:tcMar>
            <w:vAlign w:val="center"/>
          </w:tcPr>
          <w:p>
            <w:pPr>
              <w:spacing w:after="40"/>
            </w:pPr>
            <w:r>
              <w:rPr>
                <w:sz w:val="18"/>
              </w:rPr>
              <w:t>Plantillas y cesión/licencia.</w:t>
            </w:r>
          </w:p>
        </w:tc>
      </w:tr>
      <w:tr>
        <w:trPr>
          <w:cantSplit/>
        </w:trPr>
        <w:tc>
          <w:tcPr>
            <w:tcW w:type="dxa" w:w="2044"/>
            <w:tcMar>
              <w:top w:w="80" w:type="dxa"/>
              <w:start w:w="120" w:type="dxa"/>
              <w:bottom w:w="80" w:type="dxa"/>
              <w:end w:w="120" w:type="dxa"/>
            </w:tcMar>
            <w:vAlign w:val="center"/>
          </w:tcPr>
          <w:p>
            <w:pPr>
              <w:spacing w:after="40"/>
            </w:pPr>
            <w:r>
              <w:rPr>
                <w:sz w:val="18"/>
              </w:rPr>
              <w:t>Seguridad/pentest</w:t>
            </w:r>
          </w:p>
        </w:tc>
        <w:tc>
          <w:tcPr>
            <w:tcW w:type="dxa" w:w="1036"/>
            <w:tcMar>
              <w:top w:w="80" w:type="dxa"/>
              <w:start w:w="120" w:type="dxa"/>
              <w:bottom w:w="80" w:type="dxa"/>
              <w:end w:w="120" w:type="dxa"/>
            </w:tcMar>
            <w:vAlign w:val="center"/>
          </w:tcPr>
          <w:p>
            <w:pPr>
              <w:spacing w:after="40"/>
            </w:pPr>
            <w:r>
              <w:rPr>
                <w:sz w:val="18"/>
              </w:rPr>
              <w:t>100–1.000</w:t>
            </w:r>
          </w:p>
        </w:tc>
        <w:tc>
          <w:tcPr>
            <w:tcW w:type="dxa" w:w="1368"/>
            <w:tcMar>
              <w:top w:w="80" w:type="dxa"/>
              <w:start w:w="120" w:type="dxa"/>
              <w:bottom w:w="80" w:type="dxa"/>
              <w:end w:w="120" w:type="dxa"/>
            </w:tcMar>
            <w:vAlign w:val="center"/>
          </w:tcPr>
          <w:p>
            <w:pPr>
              <w:spacing w:after="40"/>
            </w:pPr>
            <w:r>
              <w:rPr>
                <w:sz w:val="18"/>
              </w:rPr>
              <w:t>1.500–5.000</w:t>
            </w:r>
          </w:p>
        </w:tc>
        <w:tc>
          <w:tcPr>
            <w:tcW w:type="dxa" w:w="1440"/>
            <w:tcMar>
              <w:top w:w="80" w:type="dxa"/>
              <w:start w:w="120" w:type="dxa"/>
              <w:bottom w:w="80" w:type="dxa"/>
              <w:end w:w="120" w:type="dxa"/>
            </w:tcMar>
            <w:vAlign w:val="center"/>
          </w:tcPr>
          <w:p>
            <w:pPr>
              <w:spacing w:after="40"/>
            </w:pPr>
            <w:r>
              <w:rPr>
                <w:sz w:val="18"/>
              </w:rPr>
              <w:t>5.000–20.000</w:t>
            </w:r>
          </w:p>
        </w:tc>
        <w:tc>
          <w:tcPr>
            <w:tcW w:type="dxa" w:w="3470"/>
            <w:tcMar>
              <w:top w:w="80" w:type="dxa"/>
              <w:start w:w="120" w:type="dxa"/>
              <w:bottom w:w="80" w:type="dxa"/>
              <w:end w:w="120" w:type="dxa"/>
            </w:tcMar>
            <w:vAlign w:val="center"/>
          </w:tcPr>
          <w:p>
            <w:pPr>
              <w:spacing w:after="40"/>
            </w:pPr>
            <w:r>
              <w:rPr>
                <w:sz w:val="18"/>
              </w:rPr>
              <w:t>Alcance y retest.</w:t>
            </w:r>
          </w:p>
        </w:tc>
      </w:tr>
      <w:tr>
        <w:trPr>
          <w:cantSplit/>
        </w:trPr>
        <w:tc>
          <w:tcPr>
            <w:tcW w:type="dxa" w:w="2044"/>
            <w:tcMar>
              <w:top w:w="80" w:type="dxa"/>
              <w:start w:w="120" w:type="dxa"/>
              <w:bottom w:w="80" w:type="dxa"/>
              <w:end w:w="120" w:type="dxa"/>
            </w:tcMar>
            <w:vAlign w:val="center"/>
          </w:tcPr>
          <w:p>
            <w:pPr>
              <w:spacing w:after="40"/>
            </w:pPr>
            <w:r>
              <w:rPr>
                <w:sz w:val="18"/>
              </w:rPr>
              <w:t>Accesibilidad/QA</w:t>
            </w:r>
          </w:p>
        </w:tc>
        <w:tc>
          <w:tcPr>
            <w:tcW w:type="dxa" w:w="1036"/>
            <w:tcMar>
              <w:top w:w="80" w:type="dxa"/>
              <w:start w:w="120" w:type="dxa"/>
              <w:bottom w:w="80" w:type="dxa"/>
              <w:end w:w="120" w:type="dxa"/>
            </w:tcMar>
            <w:vAlign w:val="center"/>
          </w:tcPr>
          <w:p>
            <w:pPr>
              <w:spacing w:after="40"/>
            </w:pPr>
            <w:r>
              <w:rPr>
                <w:sz w:val="18"/>
              </w:rPr>
              <w:t>100–500</w:t>
            </w:r>
          </w:p>
        </w:tc>
        <w:tc>
          <w:tcPr>
            <w:tcW w:type="dxa" w:w="1368"/>
            <w:tcMar>
              <w:top w:w="80" w:type="dxa"/>
              <w:start w:w="120" w:type="dxa"/>
              <w:bottom w:w="80" w:type="dxa"/>
              <w:end w:w="120" w:type="dxa"/>
            </w:tcMar>
            <w:vAlign w:val="center"/>
          </w:tcPr>
          <w:p>
            <w:pPr>
              <w:spacing w:after="40"/>
            </w:pPr>
            <w:r>
              <w:rPr>
                <w:sz w:val="18"/>
              </w:rPr>
              <w:t>500–2.500</w:t>
            </w:r>
          </w:p>
        </w:tc>
        <w:tc>
          <w:tcPr>
            <w:tcW w:type="dxa" w:w="1440"/>
            <w:tcMar>
              <w:top w:w="80" w:type="dxa"/>
              <w:start w:w="120" w:type="dxa"/>
              <w:bottom w:w="80" w:type="dxa"/>
              <w:end w:w="120" w:type="dxa"/>
            </w:tcMar>
            <w:vAlign w:val="center"/>
          </w:tcPr>
          <w:p>
            <w:pPr>
              <w:spacing w:after="40"/>
            </w:pPr>
            <w:r>
              <w:rPr>
                <w:sz w:val="18"/>
              </w:rPr>
              <w:t>2.500–8.000</w:t>
            </w:r>
          </w:p>
        </w:tc>
        <w:tc>
          <w:tcPr>
            <w:tcW w:type="dxa" w:w="3470"/>
            <w:tcMar>
              <w:top w:w="80" w:type="dxa"/>
              <w:start w:w="120" w:type="dxa"/>
              <w:bottom w:w="80" w:type="dxa"/>
              <w:end w:w="120" w:type="dxa"/>
            </w:tcMar>
            <w:vAlign w:val="center"/>
          </w:tcPr>
          <w:p>
            <w:pPr>
              <w:spacing w:after="40"/>
            </w:pPr>
            <w:r>
              <w:rPr>
                <w:sz w:val="18"/>
              </w:rPr>
              <w:t>Pruebas manuales y corrección.</w:t>
            </w:r>
          </w:p>
        </w:tc>
      </w:tr>
      <w:tr>
        <w:trPr>
          <w:cantSplit/>
        </w:trPr>
        <w:tc>
          <w:tcPr>
            <w:tcW w:type="dxa" w:w="2044"/>
            <w:tcMar>
              <w:top w:w="80" w:type="dxa"/>
              <w:start w:w="120" w:type="dxa"/>
              <w:bottom w:w="80" w:type="dxa"/>
              <w:end w:w="120" w:type="dxa"/>
            </w:tcMar>
            <w:vAlign w:val="center"/>
          </w:tcPr>
          <w:p>
            <w:pPr>
              <w:spacing w:after="40"/>
            </w:pPr>
            <w:r>
              <w:rPr>
                <w:sz w:val="18"/>
              </w:rPr>
              <w:t>Infraestructura inicial</w:t>
            </w:r>
          </w:p>
        </w:tc>
        <w:tc>
          <w:tcPr>
            <w:tcW w:type="dxa" w:w="1036"/>
            <w:tcMar>
              <w:top w:w="80" w:type="dxa"/>
              <w:start w:w="120" w:type="dxa"/>
              <w:bottom w:w="80" w:type="dxa"/>
              <w:end w:w="120" w:type="dxa"/>
            </w:tcMar>
            <w:vAlign w:val="center"/>
          </w:tcPr>
          <w:p>
            <w:pPr>
              <w:spacing w:after="40"/>
            </w:pPr>
            <w:r>
              <w:rPr>
                <w:sz w:val="18"/>
              </w:rPr>
              <w:t>50–250</w:t>
            </w:r>
          </w:p>
        </w:tc>
        <w:tc>
          <w:tcPr>
            <w:tcW w:type="dxa" w:w="1368"/>
            <w:tcMar>
              <w:top w:w="80" w:type="dxa"/>
              <w:start w:w="120" w:type="dxa"/>
              <w:bottom w:w="80" w:type="dxa"/>
              <w:end w:w="120" w:type="dxa"/>
            </w:tcMar>
            <w:vAlign w:val="center"/>
          </w:tcPr>
          <w:p>
            <w:pPr>
              <w:spacing w:after="40"/>
            </w:pPr>
            <w:r>
              <w:rPr>
                <w:sz w:val="18"/>
              </w:rPr>
              <w:t>250–1.000</w:t>
            </w:r>
          </w:p>
        </w:tc>
        <w:tc>
          <w:tcPr>
            <w:tcW w:type="dxa" w:w="1440"/>
            <w:tcMar>
              <w:top w:w="80" w:type="dxa"/>
              <w:start w:w="120" w:type="dxa"/>
              <w:bottom w:w="80" w:type="dxa"/>
              <w:end w:w="120" w:type="dxa"/>
            </w:tcMar>
            <w:vAlign w:val="center"/>
          </w:tcPr>
          <w:p>
            <w:pPr>
              <w:spacing w:after="40"/>
            </w:pPr>
            <w:r>
              <w:rPr>
                <w:sz w:val="18"/>
              </w:rPr>
              <w:t>1.000–5.000</w:t>
            </w:r>
          </w:p>
        </w:tc>
        <w:tc>
          <w:tcPr>
            <w:tcW w:type="dxa" w:w="3470"/>
            <w:tcMar>
              <w:top w:w="80" w:type="dxa"/>
              <w:start w:w="120" w:type="dxa"/>
              <w:bottom w:w="80" w:type="dxa"/>
              <w:end w:w="120" w:type="dxa"/>
            </w:tcMar>
            <w:vAlign w:val="center"/>
          </w:tcPr>
          <w:p>
            <w:pPr>
              <w:spacing w:after="40"/>
            </w:pPr>
            <w:r>
              <w:rPr>
                <w:sz w:val="18"/>
              </w:rPr>
              <w:t>Ambientes, backups, observabilidad.</w:t>
            </w:r>
          </w:p>
        </w:tc>
      </w:tr>
      <w:tr>
        <w:trPr>
          <w:cantSplit/>
        </w:trPr>
        <w:tc>
          <w:tcPr>
            <w:tcW w:type="dxa" w:w="2044"/>
            <w:tcMar>
              <w:top w:w="80" w:type="dxa"/>
              <w:start w:w="120" w:type="dxa"/>
              <w:bottom w:w="80" w:type="dxa"/>
              <w:end w:w="120" w:type="dxa"/>
            </w:tcMar>
            <w:vAlign w:val="center"/>
          </w:tcPr>
          <w:p>
            <w:pPr>
              <w:spacing w:after="40"/>
            </w:pPr>
            <w:r>
              <w:rPr>
                <w:sz w:val="18"/>
              </w:rPr>
              <w:t>Reserva contingencia</w:t>
            </w:r>
          </w:p>
        </w:tc>
        <w:tc>
          <w:tcPr>
            <w:tcW w:type="dxa" w:w="1036"/>
            <w:tcMar>
              <w:top w:w="80" w:type="dxa"/>
              <w:start w:w="120" w:type="dxa"/>
              <w:bottom w:w="80" w:type="dxa"/>
              <w:end w:w="120" w:type="dxa"/>
            </w:tcMar>
            <w:vAlign w:val="center"/>
          </w:tcPr>
          <w:p>
            <w:pPr>
              <w:spacing w:after="40"/>
            </w:pPr>
            <w:r>
              <w:rPr>
                <w:sz w:val="18"/>
              </w:rPr>
              <w:t>10–20%</w:t>
            </w:r>
          </w:p>
        </w:tc>
        <w:tc>
          <w:tcPr>
            <w:tcW w:type="dxa" w:w="1368"/>
            <w:tcMar>
              <w:top w:w="80" w:type="dxa"/>
              <w:start w:w="120" w:type="dxa"/>
              <w:bottom w:w="80" w:type="dxa"/>
              <w:end w:w="120" w:type="dxa"/>
            </w:tcMar>
            <w:vAlign w:val="center"/>
          </w:tcPr>
          <w:p>
            <w:pPr>
              <w:spacing w:after="40"/>
            </w:pPr>
            <w:r>
              <w:rPr>
                <w:sz w:val="18"/>
              </w:rPr>
              <w:t>15–25%</w:t>
            </w:r>
          </w:p>
        </w:tc>
        <w:tc>
          <w:tcPr>
            <w:tcW w:type="dxa" w:w="1440"/>
            <w:tcMar>
              <w:top w:w="80" w:type="dxa"/>
              <w:start w:w="120" w:type="dxa"/>
              <w:bottom w:w="80" w:type="dxa"/>
              <w:end w:w="120" w:type="dxa"/>
            </w:tcMar>
            <w:vAlign w:val="center"/>
          </w:tcPr>
          <w:p>
            <w:pPr>
              <w:spacing w:after="40"/>
            </w:pPr>
            <w:r>
              <w:rPr>
                <w:sz w:val="18"/>
              </w:rPr>
              <w:t>20–30%</w:t>
            </w:r>
          </w:p>
        </w:tc>
        <w:tc>
          <w:tcPr>
            <w:tcW w:type="dxa" w:w="3470"/>
            <w:tcMar>
              <w:top w:w="80" w:type="dxa"/>
              <w:start w:w="120" w:type="dxa"/>
              <w:bottom w:w="80" w:type="dxa"/>
              <w:end w:w="120" w:type="dxa"/>
            </w:tcMar>
            <w:vAlign w:val="center"/>
          </w:tcPr>
          <w:p>
            <w:pPr>
              <w:spacing w:after="40"/>
            </w:pPr>
            <w:r>
              <w:rPr>
                <w:sz w:val="18"/>
              </w:rPr>
              <w:t>Sobre partidas conocidas, no licencias.</w:t>
            </w:r>
          </w:p>
        </w:tc>
      </w:tr>
    </w:tbl>
    <w:p>
      <w:pPr>
        <w:spacing w:after="20"/>
      </w:pPr>
    </w:p>
    <w:p>
      <w:pPr>
        <w:pStyle w:val="Heading1"/>
      </w:pPr>
      <w:r>
        <w:t>5. Costos mensuales recurrentes</w:t>
      </w:r>
    </w:p>
    <w:tbl>
      <w:tblPr>
        <w:tblStyle w:val="TableGrid"/>
        <w:tblW w:type="dxa" w:w="9360"/>
        <w:jc w:val="center"/>
        <w:tblLayout w:type="fixed"/>
        <w:tblLook w:firstColumn="1" w:firstRow="1" w:lastColumn="0" w:lastRow="0" w:noHBand="0" w:noVBand="1" w:val="04A0"/>
        <w:tblInd w:w="120" w:type="dxa"/>
      </w:tblPr>
      <w:tblGrid>
        <w:gridCol w:w="2951"/>
        <w:gridCol w:w="1944"/>
        <w:gridCol w:w="1872"/>
        <w:gridCol w:w="2592"/>
      </w:tblGrid>
      <w:tr>
        <w:trPr>
          <w:tblHeader/>
          <w:cantSplit/>
        </w:trPr>
        <w:tc>
          <w:tcPr>
            <w:tcW w:type="dxa" w:w="2951"/>
            <w:shd w:fill="E8EEF5"/>
            <w:tcMar>
              <w:top w:w="80" w:type="dxa"/>
              <w:start w:w="120" w:type="dxa"/>
              <w:bottom w:w="80" w:type="dxa"/>
              <w:end w:w="120" w:type="dxa"/>
            </w:tcMar>
            <w:vAlign w:val="center"/>
          </w:tcPr>
          <w:p>
            <w:r>
              <w:rPr>
                <w:b/>
              </w:rPr>
              <w:t>Categoría</w:t>
            </w:r>
          </w:p>
        </w:tc>
        <w:tc>
          <w:tcPr>
            <w:tcW w:type="dxa" w:w="1944"/>
            <w:shd w:fill="E8EEF5"/>
            <w:tcMar>
              <w:top w:w="80" w:type="dxa"/>
              <w:start w:w="120" w:type="dxa"/>
              <w:bottom w:w="80" w:type="dxa"/>
              <w:end w:w="120" w:type="dxa"/>
            </w:tcMar>
            <w:vAlign w:val="center"/>
          </w:tcPr>
          <w:p>
            <w:r>
              <w:rPr>
                <w:b/>
              </w:rPr>
              <w:t>Público pequeño (USD/mes)</w:t>
            </w:r>
          </w:p>
        </w:tc>
        <w:tc>
          <w:tcPr>
            <w:tcW w:type="dxa" w:w="1872"/>
            <w:shd w:fill="E8EEF5"/>
            <w:tcMar>
              <w:top w:w="80" w:type="dxa"/>
              <w:start w:w="120" w:type="dxa"/>
              <w:bottom w:w="80" w:type="dxa"/>
              <w:end w:w="120" w:type="dxa"/>
            </w:tcMar>
            <w:vAlign w:val="center"/>
          </w:tcPr>
          <w:p>
            <w:r>
              <w:rPr>
                <w:b/>
              </w:rPr>
              <w:t>Profesional (USD/mes)</w:t>
            </w:r>
          </w:p>
        </w:tc>
        <w:tc>
          <w:tcPr>
            <w:tcW w:type="dxa" w:w="2592"/>
            <w:shd w:fill="E8EEF5"/>
            <w:tcMar>
              <w:top w:w="80" w:type="dxa"/>
              <w:start w:w="120" w:type="dxa"/>
              <w:bottom w:w="80" w:type="dxa"/>
              <w:end w:w="120" w:type="dxa"/>
            </w:tcMar>
            <w:vAlign w:val="center"/>
          </w:tcPr>
          <w:p>
            <w:r>
              <w:rPr>
                <w:b/>
              </w:rPr>
              <w:t>Impulsor</w:t>
            </w:r>
          </w:p>
        </w:tc>
      </w:tr>
      <w:tr>
        <w:trPr>
          <w:cantSplit/>
        </w:trPr>
        <w:tc>
          <w:tcPr>
            <w:tcW w:type="dxa" w:w="2951"/>
            <w:tcMar>
              <w:top w:w="80" w:type="dxa"/>
              <w:start w:w="120" w:type="dxa"/>
              <w:bottom w:w="80" w:type="dxa"/>
              <w:end w:w="120" w:type="dxa"/>
            </w:tcMar>
            <w:vAlign w:val="center"/>
          </w:tcPr>
          <w:p>
            <w:pPr>
              <w:spacing w:after="40"/>
            </w:pPr>
            <w:r>
              <w:rPr>
                <w:sz w:val="18"/>
              </w:rPr>
              <w:t>Aplicación/CDN</w:t>
            </w:r>
          </w:p>
        </w:tc>
        <w:tc>
          <w:tcPr>
            <w:tcW w:type="dxa" w:w="1944"/>
            <w:tcMar>
              <w:top w:w="80" w:type="dxa"/>
              <w:start w:w="120" w:type="dxa"/>
              <w:bottom w:w="80" w:type="dxa"/>
              <w:end w:w="120" w:type="dxa"/>
            </w:tcMar>
            <w:vAlign w:val="center"/>
          </w:tcPr>
          <w:p>
            <w:pPr>
              <w:spacing w:after="40"/>
            </w:pPr>
            <w:r>
              <w:rPr>
                <w:sz w:val="18"/>
              </w:rPr>
              <w:t>5–80</w:t>
            </w:r>
          </w:p>
        </w:tc>
        <w:tc>
          <w:tcPr>
            <w:tcW w:type="dxa" w:w="1872"/>
            <w:tcMar>
              <w:top w:w="80" w:type="dxa"/>
              <w:start w:w="120" w:type="dxa"/>
              <w:bottom w:w="80" w:type="dxa"/>
              <w:end w:w="120" w:type="dxa"/>
            </w:tcMar>
            <w:vAlign w:val="center"/>
          </w:tcPr>
          <w:p>
            <w:pPr>
              <w:spacing w:after="40"/>
            </w:pPr>
            <w:r>
              <w:rPr>
                <w:sz w:val="18"/>
              </w:rPr>
              <w:t>80–500</w:t>
            </w:r>
          </w:p>
        </w:tc>
        <w:tc>
          <w:tcPr>
            <w:tcW w:type="dxa" w:w="2592"/>
            <w:tcMar>
              <w:top w:w="80" w:type="dxa"/>
              <w:start w:w="120" w:type="dxa"/>
              <w:bottom w:w="80" w:type="dxa"/>
              <w:end w:w="120" w:type="dxa"/>
            </w:tcMar>
            <w:vAlign w:val="center"/>
          </w:tcPr>
          <w:p>
            <w:pPr>
              <w:spacing w:after="40"/>
            </w:pPr>
            <w:r>
              <w:rPr>
                <w:sz w:val="18"/>
              </w:rPr>
              <w:t>Tráfico, CPU y funciones.</w:t>
            </w:r>
          </w:p>
        </w:tc>
      </w:tr>
      <w:tr>
        <w:trPr>
          <w:cantSplit/>
        </w:trPr>
        <w:tc>
          <w:tcPr>
            <w:tcW w:type="dxa" w:w="2951"/>
            <w:tcMar>
              <w:top w:w="80" w:type="dxa"/>
              <w:start w:w="120" w:type="dxa"/>
              <w:bottom w:w="80" w:type="dxa"/>
              <w:end w:w="120" w:type="dxa"/>
            </w:tcMar>
            <w:vAlign w:val="center"/>
          </w:tcPr>
          <w:p>
            <w:pPr>
              <w:spacing w:after="40"/>
            </w:pPr>
            <w:r>
              <w:rPr>
                <w:sz w:val="18"/>
              </w:rPr>
              <w:t>PostgreSQL/objetos/backups</w:t>
            </w:r>
          </w:p>
        </w:tc>
        <w:tc>
          <w:tcPr>
            <w:tcW w:type="dxa" w:w="1944"/>
            <w:tcMar>
              <w:top w:w="80" w:type="dxa"/>
              <w:start w:w="120" w:type="dxa"/>
              <w:bottom w:w="80" w:type="dxa"/>
              <w:end w:w="120" w:type="dxa"/>
            </w:tcMar>
            <w:vAlign w:val="center"/>
          </w:tcPr>
          <w:p>
            <w:pPr>
              <w:spacing w:after="40"/>
            </w:pPr>
            <w:r>
              <w:rPr>
                <w:sz w:val="18"/>
              </w:rPr>
              <w:t>25–150</w:t>
            </w:r>
          </w:p>
        </w:tc>
        <w:tc>
          <w:tcPr>
            <w:tcW w:type="dxa" w:w="1872"/>
            <w:tcMar>
              <w:top w:w="80" w:type="dxa"/>
              <w:start w:w="120" w:type="dxa"/>
              <w:bottom w:w="80" w:type="dxa"/>
              <w:end w:w="120" w:type="dxa"/>
            </w:tcMar>
            <w:vAlign w:val="center"/>
          </w:tcPr>
          <w:p>
            <w:pPr>
              <w:spacing w:after="40"/>
            </w:pPr>
            <w:r>
              <w:rPr>
                <w:sz w:val="18"/>
              </w:rPr>
              <w:t>150–1.000</w:t>
            </w:r>
          </w:p>
        </w:tc>
        <w:tc>
          <w:tcPr>
            <w:tcW w:type="dxa" w:w="2592"/>
            <w:tcMar>
              <w:top w:w="80" w:type="dxa"/>
              <w:start w:w="120" w:type="dxa"/>
              <w:bottom w:w="80" w:type="dxa"/>
              <w:end w:w="120" w:type="dxa"/>
            </w:tcMar>
            <w:vAlign w:val="center"/>
          </w:tcPr>
          <w:p>
            <w:pPr>
              <w:spacing w:after="40"/>
            </w:pPr>
            <w:r>
              <w:rPr>
                <w:sz w:val="18"/>
              </w:rPr>
              <w:t>Datos, PITR, retención y egreso.</w:t>
            </w:r>
          </w:p>
        </w:tc>
      </w:tr>
      <w:tr>
        <w:trPr>
          <w:cantSplit/>
        </w:trPr>
        <w:tc>
          <w:tcPr>
            <w:tcW w:type="dxa" w:w="2951"/>
            <w:tcMar>
              <w:top w:w="80" w:type="dxa"/>
              <w:start w:w="120" w:type="dxa"/>
              <w:bottom w:w="80" w:type="dxa"/>
              <w:end w:w="120" w:type="dxa"/>
            </w:tcMar>
            <w:vAlign w:val="center"/>
          </w:tcPr>
          <w:p>
            <w:pPr>
              <w:spacing w:after="40"/>
            </w:pPr>
            <w:r>
              <w:rPr>
                <w:sz w:val="18"/>
              </w:rPr>
              <w:t>Correo transaccional/negocio</w:t>
            </w:r>
          </w:p>
        </w:tc>
        <w:tc>
          <w:tcPr>
            <w:tcW w:type="dxa" w:w="1944"/>
            <w:tcMar>
              <w:top w:w="80" w:type="dxa"/>
              <w:start w:w="120" w:type="dxa"/>
              <w:bottom w:w="80" w:type="dxa"/>
              <w:end w:w="120" w:type="dxa"/>
            </w:tcMar>
            <w:vAlign w:val="center"/>
          </w:tcPr>
          <w:p>
            <w:pPr>
              <w:spacing w:after="40"/>
            </w:pPr>
            <w:r>
              <w:rPr>
                <w:sz w:val="18"/>
              </w:rPr>
              <w:t>10–75</w:t>
            </w:r>
          </w:p>
        </w:tc>
        <w:tc>
          <w:tcPr>
            <w:tcW w:type="dxa" w:w="1872"/>
            <w:tcMar>
              <w:top w:w="80" w:type="dxa"/>
              <w:start w:w="120" w:type="dxa"/>
              <w:bottom w:w="80" w:type="dxa"/>
              <w:end w:w="120" w:type="dxa"/>
            </w:tcMar>
            <w:vAlign w:val="center"/>
          </w:tcPr>
          <w:p>
            <w:pPr>
              <w:spacing w:after="40"/>
            </w:pPr>
            <w:r>
              <w:rPr>
                <w:sz w:val="18"/>
              </w:rPr>
              <w:t>75–400</w:t>
            </w:r>
          </w:p>
        </w:tc>
        <w:tc>
          <w:tcPr>
            <w:tcW w:type="dxa" w:w="2592"/>
            <w:tcMar>
              <w:top w:w="80" w:type="dxa"/>
              <w:start w:w="120" w:type="dxa"/>
              <w:bottom w:w="80" w:type="dxa"/>
              <w:end w:w="120" w:type="dxa"/>
            </w:tcMar>
            <w:vAlign w:val="center"/>
          </w:tcPr>
          <w:p>
            <w:pPr>
              <w:spacing w:after="40"/>
            </w:pPr>
            <w:r>
              <w:rPr>
                <w:sz w:val="18"/>
              </w:rPr>
              <w:t>Usuarios, plantillas y asientos.</w:t>
            </w:r>
          </w:p>
        </w:tc>
      </w:tr>
      <w:tr>
        <w:trPr>
          <w:cantSplit/>
        </w:trPr>
        <w:tc>
          <w:tcPr>
            <w:tcW w:type="dxa" w:w="2951"/>
            <w:tcMar>
              <w:top w:w="80" w:type="dxa"/>
              <w:start w:w="120" w:type="dxa"/>
              <w:bottom w:w="80" w:type="dxa"/>
              <w:end w:w="120" w:type="dxa"/>
            </w:tcMar>
            <w:vAlign w:val="center"/>
          </w:tcPr>
          <w:p>
            <w:pPr>
              <w:spacing w:after="40"/>
            </w:pPr>
            <w:r>
              <w:rPr>
                <w:sz w:val="18"/>
              </w:rPr>
              <w:t>Monitoreo/errores/seguridad</w:t>
            </w:r>
          </w:p>
        </w:tc>
        <w:tc>
          <w:tcPr>
            <w:tcW w:type="dxa" w:w="1944"/>
            <w:tcMar>
              <w:top w:w="80" w:type="dxa"/>
              <w:start w:w="120" w:type="dxa"/>
              <w:bottom w:w="80" w:type="dxa"/>
              <w:end w:w="120" w:type="dxa"/>
            </w:tcMar>
            <w:vAlign w:val="center"/>
          </w:tcPr>
          <w:p>
            <w:pPr>
              <w:spacing w:after="40"/>
            </w:pPr>
            <w:r>
              <w:rPr>
                <w:sz w:val="18"/>
              </w:rPr>
              <w:t>0–100</w:t>
            </w:r>
          </w:p>
        </w:tc>
        <w:tc>
          <w:tcPr>
            <w:tcW w:type="dxa" w:w="1872"/>
            <w:tcMar>
              <w:top w:w="80" w:type="dxa"/>
              <w:start w:w="120" w:type="dxa"/>
              <w:bottom w:w="80" w:type="dxa"/>
              <w:end w:w="120" w:type="dxa"/>
            </w:tcMar>
            <w:vAlign w:val="center"/>
          </w:tcPr>
          <w:p>
            <w:pPr>
              <w:spacing w:after="40"/>
            </w:pPr>
            <w:r>
              <w:rPr>
                <w:sz w:val="18"/>
              </w:rPr>
              <w:t>100–1.000</w:t>
            </w:r>
          </w:p>
        </w:tc>
        <w:tc>
          <w:tcPr>
            <w:tcW w:type="dxa" w:w="2592"/>
            <w:tcMar>
              <w:top w:w="80" w:type="dxa"/>
              <w:start w:w="120" w:type="dxa"/>
              <w:bottom w:w="80" w:type="dxa"/>
              <w:end w:w="120" w:type="dxa"/>
            </w:tcMar>
            <w:vAlign w:val="center"/>
          </w:tcPr>
          <w:p>
            <w:pPr>
              <w:spacing w:after="40"/>
            </w:pPr>
            <w:r>
              <w:rPr>
                <w:sz w:val="18"/>
              </w:rPr>
              <w:t>Retención, logs y alertas.</w:t>
            </w:r>
          </w:p>
        </w:tc>
      </w:tr>
      <w:tr>
        <w:trPr>
          <w:cantSplit/>
        </w:trPr>
        <w:tc>
          <w:tcPr>
            <w:tcW w:type="dxa" w:w="2951"/>
            <w:tcMar>
              <w:top w:w="80" w:type="dxa"/>
              <w:start w:w="120" w:type="dxa"/>
              <w:bottom w:w="80" w:type="dxa"/>
              <w:end w:w="120" w:type="dxa"/>
            </w:tcMar>
            <w:vAlign w:val="center"/>
          </w:tcPr>
          <w:p>
            <w:pPr>
              <w:spacing w:after="40"/>
            </w:pPr>
            <w:r>
              <w:rPr>
                <w:sz w:val="18"/>
              </w:rPr>
              <w:t>Contabilidad y declaraciones</w:t>
            </w:r>
          </w:p>
        </w:tc>
        <w:tc>
          <w:tcPr>
            <w:tcW w:type="dxa" w:w="1944"/>
            <w:tcMar>
              <w:top w:w="80" w:type="dxa"/>
              <w:start w:w="120" w:type="dxa"/>
              <w:bottom w:w="80" w:type="dxa"/>
              <w:end w:w="120" w:type="dxa"/>
            </w:tcMar>
            <w:vAlign w:val="center"/>
          </w:tcPr>
          <w:p>
            <w:pPr>
              <w:spacing w:after="40"/>
            </w:pPr>
            <w:r>
              <w:rPr>
                <w:sz w:val="18"/>
              </w:rPr>
              <w:t>75–300</w:t>
            </w:r>
          </w:p>
        </w:tc>
        <w:tc>
          <w:tcPr>
            <w:tcW w:type="dxa" w:w="1872"/>
            <w:tcMar>
              <w:top w:w="80" w:type="dxa"/>
              <w:start w:w="120" w:type="dxa"/>
              <w:bottom w:w="80" w:type="dxa"/>
              <w:end w:w="120" w:type="dxa"/>
            </w:tcMar>
            <w:vAlign w:val="center"/>
          </w:tcPr>
          <w:p>
            <w:pPr>
              <w:spacing w:after="40"/>
            </w:pPr>
            <w:r>
              <w:rPr>
                <w:sz w:val="18"/>
              </w:rPr>
              <w:t>300–1.000</w:t>
            </w:r>
          </w:p>
        </w:tc>
        <w:tc>
          <w:tcPr>
            <w:tcW w:type="dxa" w:w="2592"/>
            <w:tcMar>
              <w:top w:w="80" w:type="dxa"/>
              <w:start w:w="120" w:type="dxa"/>
              <w:bottom w:w="80" w:type="dxa"/>
              <w:end w:w="120" w:type="dxa"/>
            </w:tcMar>
            <w:vAlign w:val="center"/>
          </w:tcPr>
          <w:p>
            <w:pPr>
              <w:spacing w:after="40"/>
            </w:pPr>
            <w:r>
              <w:rPr>
                <w:sz w:val="18"/>
              </w:rPr>
              <w:t>Volumen, moneda y forma jurídica.</w:t>
            </w:r>
          </w:p>
        </w:tc>
      </w:tr>
      <w:tr>
        <w:trPr>
          <w:cantSplit/>
        </w:trPr>
        <w:tc>
          <w:tcPr>
            <w:tcW w:type="dxa" w:w="2951"/>
            <w:tcMar>
              <w:top w:w="80" w:type="dxa"/>
              <w:start w:w="120" w:type="dxa"/>
              <w:bottom w:w="80" w:type="dxa"/>
              <w:end w:w="120" w:type="dxa"/>
            </w:tcMar>
            <w:vAlign w:val="center"/>
          </w:tcPr>
          <w:p>
            <w:pPr>
              <w:spacing w:after="40"/>
            </w:pPr>
            <w:r>
              <w:rPr>
                <w:sz w:val="18"/>
              </w:rPr>
              <w:t>Soporte legal/privacidad</w:t>
            </w:r>
          </w:p>
        </w:tc>
        <w:tc>
          <w:tcPr>
            <w:tcW w:type="dxa" w:w="1944"/>
            <w:tcMar>
              <w:top w:w="80" w:type="dxa"/>
              <w:start w:w="120" w:type="dxa"/>
              <w:bottom w:w="80" w:type="dxa"/>
              <w:end w:w="120" w:type="dxa"/>
            </w:tcMar>
            <w:vAlign w:val="center"/>
          </w:tcPr>
          <w:p>
            <w:pPr>
              <w:spacing w:after="40"/>
            </w:pPr>
            <w:r>
              <w:rPr>
                <w:sz w:val="18"/>
              </w:rPr>
              <w:t>50–300</w:t>
            </w:r>
          </w:p>
        </w:tc>
        <w:tc>
          <w:tcPr>
            <w:tcW w:type="dxa" w:w="1872"/>
            <w:tcMar>
              <w:top w:w="80" w:type="dxa"/>
              <w:start w:w="120" w:type="dxa"/>
              <w:bottom w:w="80" w:type="dxa"/>
              <w:end w:w="120" w:type="dxa"/>
            </w:tcMar>
            <w:vAlign w:val="center"/>
          </w:tcPr>
          <w:p>
            <w:pPr>
              <w:spacing w:after="40"/>
            </w:pPr>
            <w:r>
              <w:rPr>
                <w:sz w:val="18"/>
              </w:rPr>
              <w:t>300–1.500</w:t>
            </w:r>
          </w:p>
        </w:tc>
        <w:tc>
          <w:tcPr>
            <w:tcW w:type="dxa" w:w="2592"/>
            <w:tcMar>
              <w:top w:w="80" w:type="dxa"/>
              <w:start w:w="120" w:type="dxa"/>
              <w:bottom w:w="80" w:type="dxa"/>
              <w:end w:w="120" w:type="dxa"/>
            </w:tcMar>
            <w:vAlign w:val="center"/>
          </w:tcPr>
          <w:p>
            <w:pPr>
              <w:spacing w:after="40"/>
            </w:pPr>
            <w:r>
              <w:rPr>
                <w:sz w:val="18"/>
              </w:rPr>
              <w:t>Licencias, reclamos, cambios.</w:t>
            </w:r>
          </w:p>
        </w:tc>
      </w:tr>
      <w:tr>
        <w:trPr>
          <w:cantSplit/>
        </w:trPr>
        <w:tc>
          <w:tcPr>
            <w:tcW w:type="dxa" w:w="2951"/>
            <w:tcMar>
              <w:top w:w="80" w:type="dxa"/>
              <w:start w:w="120" w:type="dxa"/>
              <w:bottom w:w="80" w:type="dxa"/>
              <w:end w:w="120" w:type="dxa"/>
            </w:tcMar>
            <w:vAlign w:val="center"/>
          </w:tcPr>
          <w:p>
            <w:pPr>
              <w:spacing w:after="40"/>
            </w:pPr>
            <w:r>
              <w:rPr>
                <w:sz w:val="18"/>
              </w:rPr>
              <w:t>Edición/traducción/QA</w:t>
            </w:r>
          </w:p>
        </w:tc>
        <w:tc>
          <w:tcPr>
            <w:tcW w:type="dxa" w:w="1944"/>
            <w:tcMar>
              <w:top w:w="80" w:type="dxa"/>
              <w:start w:w="120" w:type="dxa"/>
              <w:bottom w:w="80" w:type="dxa"/>
              <w:end w:w="120" w:type="dxa"/>
            </w:tcMar>
            <w:vAlign w:val="center"/>
          </w:tcPr>
          <w:p>
            <w:pPr>
              <w:spacing w:after="40"/>
            </w:pPr>
            <w:r>
              <w:rPr>
                <w:sz w:val="18"/>
              </w:rPr>
              <w:t>100–2.000</w:t>
            </w:r>
          </w:p>
        </w:tc>
        <w:tc>
          <w:tcPr>
            <w:tcW w:type="dxa" w:w="1872"/>
            <w:tcMar>
              <w:top w:w="80" w:type="dxa"/>
              <w:start w:w="120" w:type="dxa"/>
              <w:bottom w:w="80" w:type="dxa"/>
              <w:end w:w="120" w:type="dxa"/>
            </w:tcMar>
            <w:vAlign w:val="center"/>
          </w:tcPr>
          <w:p>
            <w:pPr>
              <w:spacing w:after="40"/>
            </w:pPr>
            <w:r>
              <w:rPr>
                <w:sz w:val="18"/>
              </w:rPr>
              <w:t>2.000–20.000</w:t>
            </w:r>
          </w:p>
        </w:tc>
        <w:tc>
          <w:tcPr>
            <w:tcW w:type="dxa" w:w="2592"/>
            <w:tcMar>
              <w:top w:w="80" w:type="dxa"/>
              <w:start w:w="120" w:type="dxa"/>
              <w:bottom w:w="80" w:type="dxa"/>
              <w:end w:w="120" w:type="dxa"/>
            </w:tcMar>
            <w:vAlign w:val="center"/>
          </w:tcPr>
          <w:p>
            <w:pPr>
              <w:spacing w:after="40"/>
            </w:pPr>
            <w:r>
              <w:rPr>
                <w:sz w:val="18"/>
              </w:rPr>
              <w:t>Canciones nuevas y revisiones.</w:t>
            </w:r>
          </w:p>
        </w:tc>
      </w:tr>
      <w:tr>
        <w:trPr>
          <w:cantSplit/>
        </w:trPr>
        <w:tc>
          <w:tcPr>
            <w:tcW w:type="dxa" w:w="2951"/>
            <w:tcMar>
              <w:top w:w="80" w:type="dxa"/>
              <w:start w:w="120" w:type="dxa"/>
              <w:bottom w:w="80" w:type="dxa"/>
              <w:end w:w="120" w:type="dxa"/>
            </w:tcMar>
            <w:vAlign w:val="center"/>
          </w:tcPr>
          <w:p>
            <w:pPr>
              <w:spacing w:after="40"/>
            </w:pPr>
            <w:r>
              <w:rPr>
                <w:sz w:val="18"/>
              </w:rPr>
              <w:t>Derechos/regalías</w:t>
            </w:r>
          </w:p>
        </w:tc>
        <w:tc>
          <w:tcPr>
            <w:tcW w:type="dxa" w:w="1944"/>
            <w:tcMar>
              <w:top w:w="80" w:type="dxa"/>
              <w:start w:w="120" w:type="dxa"/>
              <w:bottom w:w="80" w:type="dxa"/>
              <w:end w:w="120" w:type="dxa"/>
            </w:tcMar>
            <w:vAlign w:val="center"/>
          </w:tcPr>
          <w:p>
            <w:pPr>
              <w:spacing w:after="40"/>
            </w:pPr>
            <w:r>
              <w:rPr>
                <w:sz w:val="18"/>
              </w:rPr>
              <w:t>POR COTIZAR</w:t>
            </w:r>
          </w:p>
        </w:tc>
        <w:tc>
          <w:tcPr>
            <w:tcW w:type="dxa" w:w="1872"/>
            <w:tcMar>
              <w:top w:w="80" w:type="dxa"/>
              <w:start w:w="120" w:type="dxa"/>
              <w:bottom w:w="80" w:type="dxa"/>
              <w:end w:w="120" w:type="dxa"/>
            </w:tcMar>
            <w:vAlign w:val="center"/>
          </w:tcPr>
          <w:p>
            <w:pPr>
              <w:spacing w:after="40"/>
            </w:pPr>
            <w:r>
              <w:rPr>
                <w:sz w:val="18"/>
              </w:rPr>
              <w:t>POR COTIZAR</w:t>
            </w:r>
          </w:p>
        </w:tc>
        <w:tc>
          <w:tcPr>
            <w:tcW w:type="dxa" w:w="2592"/>
            <w:tcMar>
              <w:top w:w="80" w:type="dxa"/>
              <w:start w:w="120" w:type="dxa"/>
              <w:bottom w:w="80" w:type="dxa"/>
              <w:end w:w="120" w:type="dxa"/>
            </w:tcMar>
            <w:vAlign w:val="center"/>
          </w:tcPr>
          <w:p>
            <w:pPr>
              <w:spacing w:after="40"/>
            </w:pPr>
            <w:r>
              <w:rPr>
                <w:sz w:val="18"/>
              </w:rPr>
              <w:t>Mínimos, regalías y reportes.</w:t>
            </w:r>
          </w:p>
        </w:tc>
      </w:tr>
      <w:tr>
        <w:trPr>
          <w:cantSplit/>
        </w:trPr>
        <w:tc>
          <w:tcPr>
            <w:tcW w:type="dxa" w:w="2951"/>
            <w:tcMar>
              <w:top w:w="80" w:type="dxa"/>
              <w:start w:w="120" w:type="dxa"/>
              <w:bottom w:w="80" w:type="dxa"/>
              <w:end w:w="120" w:type="dxa"/>
            </w:tcMar>
            <w:vAlign w:val="center"/>
          </w:tcPr>
          <w:p>
            <w:pPr>
              <w:spacing w:after="40"/>
            </w:pPr>
            <w:r>
              <w:rPr>
                <w:sz w:val="18"/>
              </w:rPr>
              <w:t>Dominio/marca/permisos</w:t>
            </w:r>
          </w:p>
        </w:tc>
        <w:tc>
          <w:tcPr>
            <w:tcW w:type="dxa" w:w="1944"/>
            <w:tcMar>
              <w:top w:w="80" w:type="dxa"/>
              <w:start w:w="120" w:type="dxa"/>
              <w:bottom w:w="80" w:type="dxa"/>
              <w:end w:w="120" w:type="dxa"/>
            </w:tcMar>
            <w:vAlign w:val="center"/>
          </w:tcPr>
          <w:p>
            <w:pPr>
              <w:spacing w:after="40"/>
            </w:pPr>
            <w:r>
              <w:rPr>
                <w:sz w:val="18"/>
              </w:rPr>
              <w:t>5–75</w:t>
            </w:r>
          </w:p>
        </w:tc>
        <w:tc>
          <w:tcPr>
            <w:tcW w:type="dxa" w:w="1872"/>
            <w:tcMar>
              <w:top w:w="80" w:type="dxa"/>
              <w:start w:w="120" w:type="dxa"/>
              <w:bottom w:w="80" w:type="dxa"/>
              <w:end w:w="120" w:type="dxa"/>
            </w:tcMar>
            <w:vAlign w:val="center"/>
          </w:tcPr>
          <w:p>
            <w:pPr>
              <w:spacing w:after="40"/>
            </w:pPr>
            <w:r>
              <w:rPr>
                <w:sz w:val="18"/>
              </w:rPr>
              <w:t>75–300</w:t>
            </w:r>
          </w:p>
        </w:tc>
        <w:tc>
          <w:tcPr>
            <w:tcW w:type="dxa" w:w="2592"/>
            <w:tcMar>
              <w:top w:w="80" w:type="dxa"/>
              <w:start w:w="120" w:type="dxa"/>
              <w:bottom w:w="80" w:type="dxa"/>
              <w:end w:w="120" w:type="dxa"/>
            </w:tcMar>
            <w:vAlign w:val="center"/>
          </w:tcPr>
          <w:p>
            <w:pPr>
              <w:spacing w:after="40"/>
            </w:pPr>
            <w:r>
              <w:rPr>
                <w:sz w:val="18"/>
              </w:rPr>
              <w:t>Renovaciones e impuesto societario prorrateado.</w:t>
            </w:r>
          </w:p>
        </w:tc>
      </w:tr>
      <w:tr>
        <w:trPr>
          <w:cantSplit/>
        </w:trPr>
        <w:tc>
          <w:tcPr>
            <w:tcW w:type="dxa" w:w="2951"/>
            <w:tcMar>
              <w:top w:w="80" w:type="dxa"/>
              <w:start w:w="120" w:type="dxa"/>
              <w:bottom w:w="80" w:type="dxa"/>
              <w:end w:w="120" w:type="dxa"/>
            </w:tcMar>
            <w:vAlign w:val="center"/>
          </w:tcPr>
          <w:p>
            <w:pPr>
              <w:spacing w:after="40"/>
            </w:pPr>
            <w:r>
              <w:rPr>
                <w:sz w:val="18"/>
              </w:rPr>
              <w:t>Reserva de incidentes</w:t>
            </w:r>
          </w:p>
        </w:tc>
        <w:tc>
          <w:tcPr>
            <w:tcW w:type="dxa" w:w="1944"/>
            <w:tcMar>
              <w:top w:w="80" w:type="dxa"/>
              <w:start w:w="120" w:type="dxa"/>
              <w:bottom w:w="80" w:type="dxa"/>
              <w:end w:w="120" w:type="dxa"/>
            </w:tcMar>
            <w:vAlign w:val="center"/>
          </w:tcPr>
          <w:p>
            <w:pPr>
              <w:spacing w:after="40"/>
            </w:pPr>
            <w:r>
              <w:rPr>
                <w:sz w:val="18"/>
              </w:rPr>
              <w:t>50–250</w:t>
            </w:r>
          </w:p>
        </w:tc>
        <w:tc>
          <w:tcPr>
            <w:tcW w:type="dxa" w:w="1872"/>
            <w:tcMar>
              <w:top w:w="80" w:type="dxa"/>
              <w:start w:w="120" w:type="dxa"/>
              <w:bottom w:w="80" w:type="dxa"/>
              <w:end w:w="120" w:type="dxa"/>
            </w:tcMar>
            <w:vAlign w:val="center"/>
          </w:tcPr>
          <w:p>
            <w:pPr>
              <w:spacing w:after="40"/>
            </w:pPr>
            <w:r>
              <w:rPr>
                <w:sz w:val="18"/>
              </w:rPr>
              <w:t>250–1.500</w:t>
            </w:r>
          </w:p>
        </w:tc>
        <w:tc>
          <w:tcPr>
            <w:tcW w:type="dxa" w:w="2592"/>
            <w:tcMar>
              <w:top w:w="80" w:type="dxa"/>
              <w:start w:w="120" w:type="dxa"/>
              <w:bottom w:w="80" w:type="dxa"/>
              <w:end w:w="120" w:type="dxa"/>
            </w:tcMar>
            <w:vAlign w:val="center"/>
          </w:tcPr>
          <w:p>
            <w:pPr>
              <w:spacing w:after="40"/>
            </w:pPr>
            <w:r>
              <w:rPr>
                <w:sz w:val="18"/>
              </w:rPr>
              <w:t>Respuesta, peritaje y recuperación.</w:t>
            </w:r>
          </w:p>
        </w:tc>
      </w:tr>
    </w:tbl>
    <w:p>
      <w:pPr>
        <w:spacing w:after="20"/>
      </w:pPr>
    </w:p>
    <w:p>
      <w:pPr>
        <w:pStyle w:val="Heading1"/>
      </w:pPr>
      <w:r>
        <w:t>6. Referencias técnicas de precio</w:t>
      </w:r>
    </w:p>
    <w:p>
      <w:r>
        <w:t>Como anclas verificables —no como arquitectura obligatoria— Cloudflare Workers publica un plan pagado con mínimo de US$5/mes; Supabase Pro inicia en US$25/mes; Google Workspace Business Starter publica US$7/usuario/mes en compromiso anual o US$8,40 flexible. Los excesos, impuestos, moneda y características deben revisarse al contratar.</w:t>
      </w:r>
    </w:p>
    <w:p>
      <w:r>
        <w:t>La arquitectura actual usa .NET/PostgreSQL y puede alojarse con otros proveedores. Antes de decidir se compararán: región, transferencia internacional de datos, cifrado, backups, RPO/RTO, salida, soporte, bloqueo de proveedor y costo al triplicar carga.</w:t>
      </w:r>
    </w:p>
    <w:p>
      <w:pPr>
        <w:pStyle w:val="Heading1"/>
      </w:pPr>
      <w:r>
        <w:t>7. Modelo de ingresos y margen</w:t>
      </w:r>
    </w:p>
    <w:tbl>
      <w:tblPr>
        <w:tblStyle w:val="TableGrid"/>
        <w:tblW w:type="dxa" w:w="9360"/>
        <w:jc w:val="center"/>
        <w:tblLayout w:type="fixed"/>
        <w:tblLook w:firstColumn="1" w:firstRow="1" w:lastColumn="0" w:lastRow="0" w:noHBand="0" w:noVBand="1" w:val="04A0"/>
        <w:tblInd w:w="120" w:type="dxa"/>
      </w:tblPr>
      <w:tblGrid>
        <w:gridCol w:w="1512"/>
        <w:gridCol w:w="2015"/>
        <w:gridCol w:w="3671"/>
        <w:gridCol w:w="2160"/>
      </w:tblGrid>
      <w:tr>
        <w:trPr>
          <w:tblHeader/>
          <w:cantSplit/>
        </w:trPr>
        <w:tc>
          <w:tcPr>
            <w:tcW w:type="dxa" w:w="1512"/>
            <w:shd w:fill="E8EEF5"/>
            <w:tcMar>
              <w:top w:w="80" w:type="dxa"/>
              <w:start w:w="120" w:type="dxa"/>
              <w:bottom w:w="80" w:type="dxa"/>
              <w:end w:w="120" w:type="dxa"/>
            </w:tcMar>
            <w:vAlign w:val="center"/>
          </w:tcPr>
          <w:p>
            <w:r>
              <w:rPr>
                <w:b/>
              </w:rPr>
              <w:t>Flujo</w:t>
            </w:r>
          </w:p>
        </w:tc>
        <w:tc>
          <w:tcPr>
            <w:tcW w:type="dxa" w:w="2015"/>
            <w:shd w:fill="E8EEF5"/>
            <w:tcMar>
              <w:top w:w="80" w:type="dxa"/>
              <w:start w:w="120" w:type="dxa"/>
              <w:bottom w:w="80" w:type="dxa"/>
              <w:end w:w="120" w:type="dxa"/>
            </w:tcMar>
            <w:vAlign w:val="center"/>
          </w:tcPr>
          <w:p>
            <w:r>
              <w:rPr>
                <w:b/>
              </w:rPr>
              <w:t>Unidad económica</w:t>
            </w:r>
          </w:p>
        </w:tc>
        <w:tc>
          <w:tcPr>
            <w:tcW w:type="dxa" w:w="3671"/>
            <w:shd w:fill="E8EEF5"/>
            <w:tcMar>
              <w:top w:w="80" w:type="dxa"/>
              <w:start w:w="120" w:type="dxa"/>
              <w:bottom w:w="80" w:type="dxa"/>
              <w:end w:w="120" w:type="dxa"/>
            </w:tcMar>
            <w:vAlign w:val="center"/>
          </w:tcPr>
          <w:p>
            <w:r>
              <w:rPr>
                <w:b/>
              </w:rPr>
              <w:t>Costos variables/riesgos</w:t>
            </w:r>
          </w:p>
        </w:tc>
        <w:tc>
          <w:tcPr>
            <w:tcW w:type="dxa" w:w="2160"/>
            <w:shd w:fill="E8EEF5"/>
            <w:tcMar>
              <w:top w:w="80" w:type="dxa"/>
              <w:start w:w="120" w:type="dxa"/>
              <w:bottom w:w="80" w:type="dxa"/>
              <w:end w:w="120" w:type="dxa"/>
            </w:tcMar>
            <w:vAlign w:val="center"/>
          </w:tcPr>
          <w:p>
            <w:r>
              <w:rPr>
                <w:b/>
              </w:rPr>
              <w:t>Control de aprobación</w:t>
            </w:r>
          </w:p>
        </w:tc>
      </w:tr>
      <w:tr>
        <w:trPr>
          <w:cantSplit/>
        </w:trPr>
        <w:tc>
          <w:tcPr>
            <w:tcW w:type="dxa" w:w="1512"/>
            <w:tcMar>
              <w:top w:w="80" w:type="dxa"/>
              <w:start w:w="120" w:type="dxa"/>
              <w:bottom w:w="80" w:type="dxa"/>
              <w:end w:w="120" w:type="dxa"/>
            </w:tcMar>
            <w:vAlign w:val="center"/>
          </w:tcPr>
          <w:p>
            <w:pPr>
              <w:spacing w:after="40"/>
            </w:pPr>
            <w:r>
              <w:rPr>
                <w:sz w:val="18"/>
              </w:rPr>
              <w:t>Suscripción</w:t>
            </w:r>
          </w:p>
        </w:tc>
        <w:tc>
          <w:tcPr>
            <w:tcW w:type="dxa" w:w="2015"/>
            <w:tcMar>
              <w:top w:w="80" w:type="dxa"/>
              <w:start w:w="120" w:type="dxa"/>
              <w:bottom w:w="80" w:type="dxa"/>
              <w:end w:w="120" w:type="dxa"/>
            </w:tcMar>
            <w:vAlign w:val="center"/>
          </w:tcPr>
          <w:p>
            <w:pPr>
              <w:spacing w:after="40"/>
            </w:pPr>
            <w:r>
              <w:rPr>
                <w:sz w:val="18"/>
              </w:rPr>
              <w:t>Precio neto por usuario/mes</w:t>
            </w:r>
          </w:p>
        </w:tc>
        <w:tc>
          <w:tcPr>
            <w:tcW w:type="dxa" w:w="3671"/>
            <w:tcMar>
              <w:top w:w="80" w:type="dxa"/>
              <w:start w:w="120" w:type="dxa"/>
              <w:bottom w:w="80" w:type="dxa"/>
              <w:end w:w="120" w:type="dxa"/>
            </w:tcMar>
            <w:vAlign w:val="center"/>
          </w:tcPr>
          <w:p>
            <w:pPr>
              <w:spacing w:after="40"/>
            </w:pPr>
            <w:r>
              <w:rPr>
                <w:sz w:val="18"/>
              </w:rPr>
              <w:t>IVA si aplica, pasarela, reembolsos, soporte, regalías.</w:t>
            </w:r>
          </w:p>
        </w:tc>
        <w:tc>
          <w:tcPr>
            <w:tcW w:type="dxa" w:w="2160"/>
            <w:tcMar>
              <w:top w:w="80" w:type="dxa"/>
              <w:start w:w="120" w:type="dxa"/>
              <w:bottom w:w="80" w:type="dxa"/>
              <w:end w:w="120" w:type="dxa"/>
            </w:tcMar>
            <w:vAlign w:val="center"/>
          </w:tcPr>
          <w:p>
            <w:pPr>
              <w:spacing w:after="40"/>
            </w:pPr>
            <w:r>
              <w:rPr>
                <w:sz w:val="18"/>
              </w:rPr>
              <w:t>Cohorte, churn y margen de contribución.</w:t>
            </w:r>
          </w:p>
        </w:tc>
      </w:tr>
      <w:tr>
        <w:trPr>
          <w:cantSplit/>
        </w:trPr>
        <w:tc>
          <w:tcPr>
            <w:tcW w:type="dxa" w:w="1512"/>
            <w:tcMar>
              <w:top w:w="80" w:type="dxa"/>
              <w:start w:w="120" w:type="dxa"/>
              <w:bottom w:w="80" w:type="dxa"/>
              <w:end w:w="120" w:type="dxa"/>
            </w:tcMar>
            <w:vAlign w:val="center"/>
          </w:tcPr>
          <w:p>
            <w:pPr>
              <w:spacing w:after="40"/>
            </w:pPr>
            <w:r>
              <w:rPr>
                <w:sz w:val="18"/>
              </w:rPr>
              <w:t>Anuncios</w:t>
            </w:r>
          </w:p>
        </w:tc>
        <w:tc>
          <w:tcPr>
            <w:tcW w:type="dxa" w:w="2015"/>
            <w:tcMar>
              <w:top w:w="80" w:type="dxa"/>
              <w:start w:w="120" w:type="dxa"/>
              <w:bottom w:w="80" w:type="dxa"/>
              <w:end w:w="120" w:type="dxa"/>
            </w:tcMar>
            <w:vAlign w:val="center"/>
          </w:tcPr>
          <w:p>
            <w:pPr>
              <w:spacing w:after="40"/>
            </w:pPr>
            <w:r>
              <w:rPr>
                <w:sz w:val="18"/>
              </w:rPr>
              <w:t>Ingreso por mil impresiones/clic</w:t>
            </w:r>
          </w:p>
        </w:tc>
        <w:tc>
          <w:tcPr>
            <w:tcW w:type="dxa" w:w="3671"/>
            <w:tcMar>
              <w:top w:w="80" w:type="dxa"/>
              <w:start w:w="120" w:type="dxa"/>
              <w:bottom w:w="80" w:type="dxa"/>
              <w:end w:w="120" w:type="dxa"/>
            </w:tcMar>
            <w:vAlign w:val="center"/>
          </w:tcPr>
          <w:p>
            <w:pPr>
              <w:spacing w:after="40"/>
            </w:pPr>
            <w:r>
              <w:rPr>
                <w:sz w:val="18"/>
              </w:rPr>
              <w:t>Consentimiento, bloqueo, estacionalidad, reputación.</w:t>
            </w:r>
          </w:p>
        </w:tc>
        <w:tc>
          <w:tcPr>
            <w:tcW w:type="dxa" w:w="2160"/>
            <w:tcMar>
              <w:top w:w="80" w:type="dxa"/>
              <w:start w:w="120" w:type="dxa"/>
              <w:bottom w:w="80" w:type="dxa"/>
              <w:end w:w="120" w:type="dxa"/>
            </w:tcMar>
            <w:vAlign w:val="center"/>
          </w:tcPr>
          <w:p>
            <w:pPr>
              <w:spacing w:after="40"/>
            </w:pPr>
            <w:r>
              <w:rPr>
                <w:sz w:val="18"/>
              </w:rPr>
              <w:t>No afectar lectura/accesibilidad.</w:t>
            </w:r>
          </w:p>
        </w:tc>
      </w:tr>
      <w:tr>
        <w:trPr>
          <w:cantSplit/>
        </w:trPr>
        <w:tc>
          <w:tcPr>
            <w:tcW w:type="dxa" w:w="1512"/>
            <w:tcMar>
              <w:top w:w="80" w:type="dxa"/>
              <w:start w:w="120" w:type="dxa"/>
              <w:bottom w:w="80" w:type="dxa"/>
              <w:end w:w="120" w:type="dxa"/>
            </w:tcMar>
            <w:vAlign w:val="center"/>
          </w:tcPr>
          <w:p>
            <w:pPr>
              <w:spacing w:after="40"/>
            </w:pPr>
            <w:r>
              <w:rPr>
                <w:sz w:val="18"/>
              </w:rPr>
              <w:t>Aportes</w:t>
            </w:r>
          </w:p>
        </w:tc>
        <w:tc>
          <w:tcPr>
            <w:tcW w:type="dxa" w:w="2015"/>
            <w:tcMar>
              <w:top w:w="80" w:type="dxa"/>
              <w:start w:w="120" w:type="dxa"/>
              <w:bottom w:w="80" w:type="dxa"/>
              <w:end w:w="120" w:type="dxa"/>
            </w:tcMar>
            <w:vAlign w:val="center"/>
          </w:tcPr>
          <w:p>
            <w:pPr>
              <w:spacing w:after="40"/>
            </w:pPr>
            <w:r>
              <w:rPr>
                <w:sz w:val="18"/>
              </w:rPr>
              <w:t>Pago voluntario</w:t>
            </w:r>
          </w:p>
        </w:tc>
        <w:tc>
          <w:tcPr>
            <w:tcW w:type="dxa" w:w="3671"/>
            <w:tcMar>
              <w:top w:w="80" w:type="dxa"/>
              <w:start w:w="120" w:type="dxa"/>
              <w:bottom w:w="80" w:type="dxa"/>
              <w:end w:w="120" w:type="dxa"/>
            </w:tcMar>
            <w:vAlign w:val="center"/>
          </w:tcPr>
          <w:p>
            <w:pPr>
              <w:spacing w:after="40"/>
            </w:pPr>
            <w:r>
              <w:rPr>
                <w:sz w:val="18"/>
              </w:rPr>
              <w:t>Pasarela, impuestos, expectativa del aportante.</w:t>
            </w:r>
          </w:p>
        </w:tc>
        <w:tc>
          <w:tcPr>
            <w:tcW w:type="dxa" w:w="2160"/>
            <w:tcMar>
              <w:top w:w="80" w:type="dxa"/>
              <w:start w:w="120" w:type="dxa"/>
              <w:bottom w:w="80" w:type="dxa"/>
              <w:end w:w="120" w:type="dxa"/>
            </w:tcMar>
            <w:vAlign w:val="center"/>
          </w:tcPr>
          <w:p>
            <w:pPr>
              <w:spacing w:after="40"/>
            </w:pPr>
            <w:r>
              <w:rPr>
                <w:sz w:val="18"/>
              </w:rPr>
              <w:t>No llamarlo donación deducible sin base.</w:t>
            </w:r>
          </w:p>
        </w:tc>
      </w:tr>
      <w:tr>
        <w:trPr>
          <w:cantSplit/>
        </w:trPr>
        <w:tc>
          <w:tcPr>
            <w:tcW w:type="dxa" w:w="1512"/>
            <w:tcMar>
              <w:top w:w="80" w:type="dxa"/>
              <w:start w:w="120" w:type="dxa"/>
              <w:bottom w:w="80" w:type="dxa"/>
              <w:end w:w="120" w:type="dxa"/>
            </w:tcMar>
            <w:vAlign w:val="center"/>
          </w:tcPr>
          <w:p>
            <w:pPr>
              <w:spacing w:after="40"/>
            </w:pPr>
            <w:r>
              <w:rPr>
                <w:sz w:val="18"/>
              </w:rPr>
              <w:t>Afiliados</w:t>
            </w:r>
          </w:p>
        </w:tc>
        <w:tc>
          <w:tcPr>
            <w:tcW w:type="dxa" w:w="2015"/>
            <w:tcMar>
              <w:top w:w="80" w:type="dxa"/>
              <w:start w:w="120" w:type="dxa"/>
              <w:bottom w:w="80" w:type="dxa"/>
              <w:end w:w="120" w:type="dxa"/>
            </w:tcMar>
            <w:vAlign w:val="center"/>
          </w:tcPr>
          <w:p>
            <w:pPr>
              <w:spacing w:after="40"/>
            </w:pPr>
            <w:r>
              <w:rPr>
                <w:sz w:val="18"/>
              </w:rPr>
              <w:t>Comisión por conversión</w:t>
            </w:r>
          </w:p>
        </w:tc>
        <w:tc>
          <w:tcPr>
            <w:tcW w:type="dxa" w:w="3671"/>
            <w:tcMar>
              <w:top w:w="80" w:type="dxa"/>
              <w:start w:w="120" w:type="dxa"/>
              <w:bottom w:w="80" w:type="dxa"/>
              <w:end w:w="120" w:type="dxa"/>
            </w:tcMar>
            <w:vAlign w:val="center"/>
          </w:tcPr>
          <w:p>
            <w:pPr>
              <w:spacing w:after="40"/>
            </w:pPr>
            <w:r>
              <w:rPr>
                <w:sz w:val="18"/>
              </w:rPr>
              <w:t>Divulgación, devoluciones y dependencia.</w:t>
            </w:r>
          </w:p>
        </w:tc>
        <w:tc>
          <w:tcPr>
            <w:tcW w:type="dxa" w:w="2160"/>
            <w:tcMar>
              <w:top w:w="80" w:type="dxa"/>
              <w:start w:w="120" w:type="dxa"/>
              <w:bottom w:w="80" w:type="dxa"/>
              <w:end w:w="120" w:type="dxa"/>
            </w:tcMar>
            <w:vAlign w:val="center"/>
          </w:tcPr>
          <w:p>
            <w:pPr>
              <w:spacing w:after="40"/>
            </w:pPr>
            <w:r>
              <w:rPr>
                <w:sz w:val="18"/>
              </w:rPr>
              <w:t>Separar recomendación editorial.</w:t>
            </w:r>
          </w:p>
        </w:tc>
      </w:tr>
      <w:tr>
        <w:trPr>
          <w:cantSplit/>
        </w:trPr>
        <w:tc>
          <w:tcPr>
            <w:tcW w:type="dxa" w:w="1512"/>
            <w:tcMar>
              <w:top w:w="80" w:type="dxa"/>
              <w:start w:w="120" w:type="dxa"/>
              <w:bottom w:w="80" w:type="dxa"/>
              <w:end w:w="120" w:type="dxa"/>
            </w:tcMar>
            <w:vAlign w:val="center"/>
          </w:tcPr>
          <w:p>
            <w:pPr>
              <w:spacing w:after="40"/>
            </w:pPr>
            <w:r>
              <w:rPr>
                <w:sz w:val="18"/>
              </w:rPr>
              <w:t>Patrocinios</w:t>
            </w:r>
          </w:p>
        </w:tc>
        <w:tc>
          <w:tcPr>
            <w:tcW w:type="dxa" w:w="2015"/>
            <w:tcMar>
              <w:top w:w="80" w:type="dxa"/>
              <w:start w:w="120" w:type="dxa"/>
              <w:bottom w:w="80" w:type="dxa"/>
              <w:end w:w="120" w:type="dxa"/>
            </w:tcMar>
            <w:vAlign w:val="center"/>
          </w:tcPr>
          <w:p>
            <w:pPr>
              <w:spacing w:after="40"/>
            </w:pPr>
            <w:r>
              <w:rPr>
                <w:sz w:val="18"/>
              </w:rPr>
              <w:t>Contrato/campaña</w:t>
            </w:r>
          </w:p>
        </w:tc>
        <w:tc>
          <w:tcPr>
            <w:tcW w:type="dxa" w:w="3671"/>
            <w:tcMar>
              <w:top w:w="80" w:type="dxa"/>
              <w:start w:w="120" w:type="dxa"/>
              <w:bottom w:w="80" w:type="dxa"/>
              <w:end w:w="120" w:type="dxa"/>
            </w:tcMar>
            <w:vAlign w:val="center"/>
          </w:tcPr>
          <w:p>
            <w:pPr>
              <w:spacing w:after="40"/>
            </w:pPr>
            <w:r>
              <w:rPr>
                <w:sz w:val="18"/>
              </w:rPr>
              <w:t>Entregables, marca, impuestos y derechos.</w:t>
            </w:r>
          </w:p>
        </w:tc>
        <w:tc>
          <w:tcPr>
            <w:tcW w:type="dxa" w:w="2160"/>
            <w:tcMar>
              <w:top w:w="80" w:type="dxa"/>
              <w:start w:w="120" w:type="dxa"/>
              <w:bottom w:w="80" w:type="dxa"/>
              <w:end w:w="120" w:type="dxa"/>
            </w:tcMar>
            <w:vAlign w:val="center"/>
          </w:tcPr>
          <w:p>
            <w:pPr>
              <w:spacing w:after="40"/>
            </w:pPr>
            <w:r>
              <w:rPr>
                <w:sz w:val="18"/>
              </w:rPr>
              <w:t>Aprobación legal y etiquetado.</w:t>
            </w:r>
          </w:p>
        </w:tc>
      </w:tr>
      <w:tr>
        <w:trPr>
          <w:cantSplit/>
        </w:trPr>
        <w:tc>
          <w:tcPr>
            <w:tcW w:type="dxa" w:w="1512"/>
            <w:tcMar>
              <w:top w:w="80" w:type="dxa"/>
              <w:start w:w="120" w:type="dxa"/>
              <w:bottom w:w="80" w:type="dxa"/>
              <w:end w:w="120" w:type="dxa"/>
            </w:tcMar>
            <w:vAlign w:val="center"/>
          </w:tcPr>
          <w:p>
            <w:pPr>
              <w:spacing w:after="40"/>
            </w:pPr>
            <w:r>
              <w:rPr>
                <w:sz w:val="18"/>
              </w:rPr>
              <w:t>Licencias B2B</w:t>
            </w:r>
          </w:p>
        </w:tc>
        <w:tc>
          <w:tcPr>
            <w:tcW w:type="dxa" w:w="2015"/>
            <w:tcMar>
              <w:top w:w="80" w:type="dxa"/>
              <w:start w:w="120" w:type="dxa"/>
              <w:bottom w:w="80" w:type="dxa"/>
              <w:end w:w="120" w:type="dxa"/>
            </w:tcMar>
            <w:vAlign w:val="center"/>
          </w:tcPr>
          <w:p>
            <w:pPr>
              <w:spacing w:after="40"/>
            </w:pPr>
            <w:r>
              <w:rPr>
                <w:sz w:val="18"/>
              </w:rPr>
              <w:t>Contrato/institución</w:t>
            </w:r>
          </w:p>
        </w:tc>
        <w:tc>
          <w:tcPr>
            <w:tcW w:type="dxa" w:w="3671"/>
            <w:tcMar>
              <w:top w:w="80" w:type="dxa"/>
              <w:start w:w="120" w:type="dxa"/>
              <w:bottom w:w="80" w:type="dxa"/>
              <w:end w:w="120" w:type="dxa"/>
            </w:tcMar>
            <w:vAlign w:val="center"/>
          </w:tcPr>
          <w:p>
            <w:pPr>
              <w:spacing w:after="40"/>
            </w:pPr>
            <w:r>
              <w:rPr>
                <w:sz w:val="18"/>
              </w:rPr>
              <w:t>Soporte, SLA, privacidad y facturación.</w:t>
            </w:r>
          </w:p>
        </w:tc>
        <w:tc>
          <w:tcPr>
            <w:tcW w:type="dxa" w:w="2160"/>
            <w:tcMar>
              <w:top w:w="80" w:type="dxa"/>
              <w:start w:w="120" w:type="dxa"/>
              <w:bottom w:w="80" w:type="dxa"/>
              <w:end w:w="120" w:type="dxa"/>
            </w:tcMar>
            <w:vAlign w:val="center"/>
          </w:tcPr>
          <w:p>
            <w:pPr>
              <w:spacing w:after="40"/>
            </w:pPr>
            <w:r>
              <w:rPr>
                <w:sz w:val="18"/>
              </w:rPr>
              <w:t>Costo total por cliente.</w:t>
            </w:r>
          </w:p>
        </w:tc>
      </w:tr>
    </w:tbl>
    <w:p>
      <w:pPr>
        <w:spacing w:after="20"/>
      </w:pPr>
    </w:p>
    <w:p>
      <w:pPr>
        <w:pStyle w:val="Heading2"/>
      </w:pPr>
      <w:r>
        <w:t>7.1 Fórmulas de control</w:t>
      </w:r>
    </w:p>
    <w:p>
      <w:pPr>
        <w:pStyle w:val="ListBullet"/>
      </w:pPr>
      <w:r>
        <w:t>Ingreso neto de caja = cobro bruto − impuesto cobrado/remitible − comisión − reembolsos − contracargos.</w:t>
      </w:r>
    </w:p>
    <w:p>
      <w:pPr>
        <w:pStyle w:val="ListBullet"/>
      </w:pPr>
      <w:r>
        <w:t>Margen de contribución = ingreso neto atribuible − regalía variable − pasarela − soporte/infraestructura variable.</w:t>
      </w:r>
    </w:p>
    <w:p>
      <w:pPr>
        <w:pStyle w:val="ListBullet"/>
      </w:pPr>
      <w:r>
        <w:t>Punto de equilibrio de suscriptores = costos fijos mensuales ÷ margen de contribución por suscriptor.</w:t>
      </w:r>
    </w:p>
    <w:p>
      <w:pPr>
        <w:pStyle w:val="ListBullet"/>
      </w:pPr>
      <w:r>
        <w:t>Costo por canción publicada = derechos + traducción + revisión + sincronización + QA + carga editorial + prorrateo legal.</w:t>
      </w:r>
    </w:p>
    <w:p>
      <w:pPr>
        <w:pStyle w:val="ListBullet"/>
      </w:pPr>
      <w:r>
        <w:t>Runway (meses) = efectivo disponible ÷ quema neta mensual promedio.</w:t>
      </w:r>
    </w:p>
    <w:p>
      <w:pPr>
        <w:pStyle w:val="Heading2"/>
      </w:pPr>
      <w:r>
        <w:t>7.2 Ejemplo únicamente ilustrativo</w:t>
      </w:r>
    </w:p>
    <w:tbl>
      <w:tblPr>
        <w:tblStyle w:val="TableGrid"/>
        <w:tblW w:type="dxa" w:w="9360"/>
        <w:jc w:val="center"/>
        <w:tblLayout w:type="fixed"/>
        <w:tblLook w:firstColumn="1" w:firstRow="1" w:lastColumn="0" w:lastRow="0" w:noHBand="0" w:noVBand="1" w:val="04A0"/>
        <w:tblInd w:w="120" w:type="dxa"/>
      </w:tblPr>
      <w:tblGrid>
        <w:gridCol w:w="2880"/>
        <w:gridCol w:w="6480"/>
      </w:tblGrid>
      <w:tr>
        <w:trPr>
          <w:tblHeader/>
          <w:cantSplit/>
        </w:trPr>
        <w:tc>
          <w:tcPr>
            <w:tcW w:type="dxa" w:w="2880"/>
            <w:shd w:fill="E8EEF5"/>
            <w:tcMar>
              <w:top w:w="80" w:type="dxa"/>
              <w:start w:w="120" w:type="dxa"/>
              <w:bottom w:w="80" w:type="dxa"/>
              <w:end w:w="120" w:type="dxa"/>
            </w:tcMar>
            <w:vAlign w:val="center"/>
          </w:tcPr>
          <w:p>
            <w:r>
              <w:rPr>
                <w:b/>
              </w:rPr>
              <w:t>Concepto</w:t>
            </w:r>
          </w:p>
        </w:tc>
        <w:tc>
          <w:tcPr>
            <w:tcW w:type="dxa" w:w="6480"/>
            <w:shd w:fill="E8EEF5"/>
            <w:tcMar>
              <w:top w:w="80" w:type="dxa"/>
              <w:start w:w="120" w:type="dxa"/>
              <w:bottom w:w="80" w:type="dxa"/>
              <w:end w:w="120" w:type="dxa"/>
            </w:tcMar>
            <w:vAlign w:val="center"/>
          </w:tcPr>
          <w:p>
            <w:r>
              <w:rPr>
                <w:b/>
              </w:rPr>
              <w:t>Supuesto</w:t>
            </w:r>
          </w:p>
        </w:tc>
      </w:tr>
      <w:tr>
        <w:trPr>
          <w:cantSplit/>
        </w:trPr>
        <w:tc>
          <w:tcPr>
            <w:tcW w:type="dxa" w:w="2880"/>
            <w:tcMar>
              <w:top w:w="80" w:type="dxa"/>
              <w:start w:w="120" w:type="dxa"/>
              <w:bottom w:w="80" w:type="dxa"/>
              <w:end w:w="120" w:type="dxa"/>
            </w:tcMar>
            <w:vAlign w:val="center"/>
          </w:tcPr>
          <w:p>
            <w:pPr>
              <w:spacing w:after="40"/>
            </w:pPr>
            <w:r>
              <w:rPr>
                <w:sz w:val="20"/>
              </w:rPr>
              <w:t>Precio mostrado</w:t>
            </w:r>
          </w:p>
        </w:tc>
        <w:tc>
          <w:tcPr>
            <w:tcW w:type="dxa" w:w="6480"/>
            <w:tcMar>
              <w:top w:w="80" w:type="dxa"/>
              <w:start w:w="120" w:type="dxa"/>
              <w:bottom w:w="80" w:type="dxa"/>
              <w:end w:w="120" w:type="dxa"/>
            </w:tcMar>
            <w:vAlign w:val="center"/>
          </w:tcPr>
          <w:p>
            <w:pPr>
              <w:spacing w:after="40"/>
            </w:pPr>
            <w:r>
              <w:rPr>
                <w:sz w:val="20"/>
              </w:rPr>
              <w:t>US$5,00/mes</w:t>
            </w:r>
          </w:p>
        </w:tc>
      </w:tr>
      <w:tr>
        <w:trPr>
          <w:cantSplit/>
        </w:trPr>
        <w:tc>
          <w:tcPr>
            <w:tcW w:type="dxa" w:w="2880"/>
            <w:tcMar>
              <w:top w:w="80" w:type="dxa"/>
              <w:start w:w="120" w:type="dxa"/>
              <w:bottom w:w="80" w:type="dxa"/>
              <w:end w:w="120" w:type="dxa"/>
            </w:tcMar>
            <w:vAlign w:val="center"/>
          </w:tcPr>
          <w:p>
            <w:pPr>
              <w:spacing w:after="40"/>
            </w:pPr>
            <w:r>
              <w:rPr>
                <w:sz w:val="20"/>
              </w:rPr>
              <w:t>Impuesto</w:t>
            </w:r>
          </w:p>
        </w:tc>
        <w:tc>
          <w:tcPr>
            <w:tcW w:type="dxa" w:w="6480"/>
            <w:tcMar>
              <w:top w:w="80" w:type="dxa"/>
              <w:start w:w="120" w:type="dxa"/>
              <w:bottom w:w="80" w:type="dxa"/>
              <w:end w:w="120" w:type="dxa"/>
            </w:tcMar>
            <w:vAlign w:val="center"/>
          </w:tcPr>
          <w:p>
            <w:pPr>
              <w:spacing w:after="40"/>
            </w:pPr>
            <w:r>
              <w:rPr>
                <w:sz w:val="20"/>
              </w:rPr>
              <w:t>Se calcula por separado según dictamen; no se fija aquí.</w:t>
            </w:r>
          </w:p>
        </w:tc>
      </w:tr>
      <w:tr>
        <w:trPr>
          <w:cantSplit/>
        </w:trPr>
        <w:tc>
          <w:tcPr>
            <w:tcW w:type="dxa" w:w="2880"/>
            <w:tcMar>
              <w:top w:w="80" w:type="dxa"/>
              <w:start w:w="120" w:type="dxa"/>
              <w:bottom w:w="80" w:type="dxa"/>
              <w:end w:w="120" w:type="dxa"/>
            </w:tcMar>
            <w:vAlign w:val="center"/>
          </w:tcPr>
          <w:p>
            <w:pPr>
              <w:spacing w:after="40"/>
            </w:pPr>
            <w:r>
              <w:rPr>
                <w:sz w:val="20"/>
              </w:rPr>
              <w:t>Pasarela</w:t>
            </w:r>
          </w:p>
        </w:tc>
        <w:tc>
          <w:tcPr>
            <w:tcW w:type="dxa" w:w="6480"/>
            <w:tcMar>
              <w:top w:w="80" w:type="dxa"/>
              <w:start w:w="120" w:type="dxa"/>
              <w:bottom w:w="80" w:type="dxa"/>
              <w:end w:w="120" w:type="dxa"/>
            </w:tcMar>
            <w:vAlign w:val="center"/>
          </w:tcPr>
          <w:p>
            <w:pPr>
              <w:spacing w:after="40"/>
            </w:pPr>
            <w:r>
              <w:rPr>
                <w:sz w:val="20"/>
              </w:rPr>
              <w:t>Usar tarifa cotizada; ejemplo de sensibilidad 4% + US$0,30.</w:t>
            </w:r>
          </w:p>
        </w:tc>
      </w:tr>
      <w:tr>
        <w:trPr>
          <w:cantSplit/>
        </w:trPr>
        <w:tc>
          <w:tcPr>
            <w:tcW w:type="dxa" w:w="2880"/>
            <w:tcMar>
              <w:top w:w="80" w:type="dxa"/>
              <w:start w:w="120" w:type="dxa"/>
              <w:bottom w:w="80" w:type="dxa"/>
              <w:end w:w="120" w:type="dxa"/>
            </w:tcMar>
            <w:vAlign w:val="center"/>
          </w:tcPr>
          <w:p>
            <w:pPr>
              <w:spacing w:after="40"/>
            </w:pPr>
            <w:r>
              <w:rPr>
                <w:sz w:val="20"/>
              </w:rPr>
              <w:t>Regalía</w:t>
            </w:r>
          </w:p>
        </w:tc>
        <w:tc>
          <w:tcPr>
            <w:tcW w:type="dxa" w:w="6480"/>
            <w:tcMar>
              <w:top w:w="80" w:type="dxa"/>
              <w:start w:w="120" w:type="dxa"/>
              <w:bottom w:w="80" w:type="dxa"/>
              <w:end w:w="120" w:type="dxa"/>
            </w:tcMar>
            <w:vAlign w:val="center"/>
          </w:tcPr>
          <w:p>
            <w:pPr>
              <w:spacing w:after="40"/>
            </w:pPr>
            <w:r>
              <w:rPr>
                <w:sz w:val="20"/>
              </w:rPr>
              <w:t>Ejemplo de sensibilidad: 10% del ingreso neto; contrato puede ser distinto.</w:t>
            </w:r>
          </w:p>
        </w:tc>
      </w:tr>
      <w:tr>
        <w:trPr>
          <w:cantSplit/>
        </w:trPr>
        <w:tc>
          <w:tcPr>
            <w:tcW w:type="dxa" w:w="2880"/>
            <w:tcMar>
              <w:top w:w="80" w:type="dxa"/>
              <w:start w:w="120" w:type="dxa"/>
              <w:bottom w:w="80" w:type="dxa"/>
              <w:end w:w="120" w:type="dxa"/>
            </w:tcMar>
            <w:vAlign w:val="center"/>
          </w:tcPr>
          <w:p>
            <w:pPr>
              <w:spacing w:after="40"/>
            </w:pPr>
            <w:r>
              <w:rPr>
                <w:sz w:val="20"/>
              </w:rPr>
              <w:t>Margen antes de soporte</w:t>
            </w:r>
          </w:p>
        </w:tc>
        <w:tc>
          <w:tcPr>
            <w:tcW w:type="dxa" w:w="6480"/>
            <w:tcMar>
              <w:top w:w="80" w:type="dxa"/>
              <w:start w:w="120" w:type="dxa"/>
              <w:bottom w:w="80" w:type="dxa"/>
              <w:end w:w="120" w:type="dxa"/>
            </w:tcMar>
            <w:vAlign w:val="center"/>
          </w:tcPr>
          <w:p>
            <w:pPr>
              <w:spacing w:after="40"/>
            </w:pPr>
            <w:r>
              <w:rPr>
                <w:sz w:val="20"/>
              </w:rPr>
              <w:t>Precio neto menos pasarela y regalía.</w:t>
            </w:r>
          </w:p>
        </w:tc>
      </w:tr>
      <w:tr>
        <w:trPr>
          <w:cantSplit/>
        </w:trPr>
        <w:tc>
          <w:tcPr>
            <w:tcW w:type="dxa" w:w="2880"/>
            <w:tcMar>
              <w:top w:w="80" w:type="dxa"/>
              <w:start w:w="120" w:type="dxa"/>
              <w:bottom w:w="80" w:type="dxa"/>
              <w:end w:w="120" w:type="dxa"/>
            </w:tcMar>
            <w:vAlign w:val="center"/>
          </w:tcPr>
          <w:p>
            <w:pPr>
              <w:spacing w:after="40"/>
            </w:pPr>
            <w:r>
              <w:rPr>
                <w:sz w:val="20"/>
              </w:rPr>
              <w:t>Costos fijos ejemplo</w:t>
            </w:r>
          </w:p>
        </w:tc>
        <w:tc>
          <w:tcPr>
            <w:tcW w:type="dxa" w:w="6480"/>
            <w:tcMar>
              <w:top w:w="80" w:type="dxa"/>
              <w:start w:w="120" w:type="dxa"/>
              <w:bottom w:w="80" w:type="dxa"/>
              <w:end w:w="120" w:type="dxa"/>
            </w:tcMar>
            <w:vAlign w:val="center"/>
          </w:tcPr>
          <w:p>
            <w:pPr>
              <w:spacing w:after="40"/>
            </w:pPr>
            <w:r>
              <w:rPr>
                <w:sz w:val="20"/>
              </w:rPr>
              <w:t>US$800/mes.</w:t>
            </w:r>
          </w:p>
        </w:tc>
      </w:tr>
      <w:tr>
        <w:trPr>
          <w:cantSplit/>
        </w:trPr>
        <w:tc>
          <w:tcPr>
            <w:tcW w:type="dxa" w:w="2880"/>
            <w:tcMar>
              <w:top w:w="80" w:type="dxa"/>
              <w:start w:w="120" w:type="dxa"/>
              <w:bottom w:w="80" w:type="dxa"/>
              <w:end w:w="120" w:type="dxa"/>
            </w:tcMar>
            <w:vAlign w:val="center"/>
          </w:tcPr>
          <w:p>
            <w:pPr>
              <w:spacing w:after="40"/>
            </w:pPr>
            <w:r>
              <w:rPr>
                <w:sz w:val="20"/>
              </w:rPr>
              <w:t>Uso correcto</w:t>
            </w:r>
          </w:p>
        </w:tc>
        <w:tc>
          <w:tcPr>
            <w:tcW w:type="dxa" w:w="6480"/>
            <w:tcMar>
              <w:top w:w="80" w:type="dxa"/>
              <w:start w:w="120" w:type="dxa"/>
              <w:bottom w:w="80" w:type="dxa"/>
              <w:end w:w="120" w:type="dxa"/>
            </w:tcMar>
            <w:vAlign w:val="center"/>
          </w:tcPr>
          <w:p>
            <w:pPr>
              <w:spacing w:after="40"/>
            </w:pPr>
            <w:r>
              <w:rPr>
                <w:sz w:val="20"/>
              </w:rPr>
              <w:t>Probar sensibilidad; no usar para facturar ni declarar.</w:t>
            </w:r>
          </w:p>
        </w:tc>
      </w:tr>
    </w:tbl>
    <w:p>
      <w:pPr>
        <w:spacing w:after="20"/>
      </w:pPr>
    </w:p>
    <w:p>
      <w:r>
        <w:t>Con precio neto de US$5, comisión hipotética de 4% + US$0,30 y regalía hipotética de 10%, el margen unitario aproximado sería US$4,05; el equilibrio frente a US$800 fijos sería cerca de 198 suscriptores. Este cálculo excluye impuestos y debe rehacerse con contratos reales.</w:t>
      </w:r>
    </w:p>
    <w:p>
      <w:pPr>
        <w:pStyle w:val="Heading1"/>
      </w:pPr>
      <w:r>
        <w:t>8. Tesorería y reservas</w:t>
      </w:r>
    </w:p>
    <w:tbl>
      <w:tblPr>
        <w:tblStyle w:val="TableGrid"/>
        <w:tblW w:type="dxa" w:w="9360"/>
        <w:jc w:val="center"/>
        <w:tblLayout w:type="fixed"/>
        <w:tblLook w:firstColumn="1" w:firstRow="1" w:lastColumn="0" w:lastRow="0" w:noHBand="0" w:noVBand="1" w:val="04A0"/>
        <w:tblInd w:w="120" w:type="dxa"/>
      </w:tblPr>
      <w:tblGrid>
        <w:gridCol w:w="2088"/>
        <w:gridCol w:w="5112"/>
        <w:gridCol w:w="2160"/>
      </w:tblGrid>
      <w:tr>
        <w:trPr>
          <w:tblHeader/>
          <w:cantSplit/>
        </w:trPr>
        <w:tc>
          <w:tcPr>
            <w:tcW w:type="dxa" w:w="2088"/>
            <w:shd w:fill="E8EEF5"/>
            <w:tcMar>
              <w:top w:w="80" w:type="dxa"/>
              <w:start w:w="120" w:type="dxa"/>
              <w:bottom w:w="80" w:type="dxa"/>
              <w:end w:w="120" w:type="dxa"/>
            </w:tcMar>
            <w:vAlign w:val="center"/>
          </w:tcPr>
          <w:p>
            <w:r>
              <w:rPr>
                <w:b/>
              </w:rPr>
              <w:t>Reserva</w:t>
            </w:r>
          </w:p>
        </w:tc>
        <w:tc>
          <w:tcPr>
            <w:tcW w:type="dxa" w:w="5112"/>
            <w:shd w:fill="E8EEF5"/>
            <w:tcMar>
              <w:top w:w="80" w:type="dxa"/>
              <w:start w:w="120" w:type="dxa"/>
              <w:bottom w:w="80" w:type="dxa"/>
              <w:end w:w="120" w:type="dxa"/>
            </w:tcMar>
            <w:vAlign w:val="center"/>
          </w:tcPr>
          <w:p>
            <w:r>
              <w:rPr>
                <w:b/>
              </w:rPr>
              <w:t>Regla inicial</w:t>
            </w:r>
          </w:p>
        </w:tc>
        <w:tc>
          <w:tcPr>
            <w:tcW w:type="dxa" w:w="2160"/>
            <w:shd w:fill="E8EEF5"/>
            <w:tcMar>
              <w:top w:w="80" w:type="dxa"/>
              <w:start w:w="120" w:type="dxa"/>
              <w:bottom w:w="80" w:type="dxa"/>
              <w:end w:w="120" w:type="dxa"/>
            </w:tcMar>
            <w:vAlign w:val="center"/>
          </w:tcPr>
          <w:p>
            <w:r>
              <w:rPr>
                <w:b/>
              </w:rPr>
              <w:t>Liberación</w:t>
            </w:r>
          </w:p>
        </w:tc>
      </w:tr>
      <w:tr>
        <w:trPr>
          <w:cantSplit/>
        </w:trPr>
        <w:tc>
          <w:tcPr>
            <w:tcW w:type="dxa" w:w="2088"/>
            <w:tcMar>
              <w:top w:w="80" w:type="dxa"/>
              <w:start w:w="120" w:type="dxa"/>
              <w:bottom w:w="80" w:type="dxa"/>
              <w:end w:w="120" w:type="dxa"/>
            </w:tcMar>
            <w:vAlign w:val="center"/>
          </w:tcPr>
          <w:p>
            <w:pPr>
              <w:spacing w:after="40"/>
            </w:pPr>
            <w:r>
              <w:rPr>
                <w:sz w:val="20"/>
              </w:rPr>
              <w:t>Impuestos</w:t>
            </w:r>
          </w:p>
        </w:tc>
        <w:tc>
          <w:tcPr>
            <w:tcW w:type="dxa" w:w="5112"/>
            <w:tcMar>
              <w:top w:w="80" w:type="dxa"/>
              <w:start w:w="120" w:type="dxa"/>
              <w:bottom w:w="80" w:type="dxa"/>
              <w:end w:w="120" w:type="dxa"/>
            </w:tcMar>
            <w:vAlign w:val="center"/>
          </w:tcPr>
          <w:p>
            <w:pPr>
              <w:spacing w:after="40"/>
            </w:pPr>
            <w:r>
              <w:rPr>
                <w:sz w:val="20"/>
              </w:rPr>
              <w:t>Porcentaje definido por contador sobre flujos aplicables; cuenta separada.</w:t>
            </w:r>
          </w:p>
        </w:tc>
        <w:tc>
          <w:tcPr>
            <w:tcW w:type="dxa" w:w="2160"/>
            <w:tcMar>
              <w:top w:w="80" w:type="dxa"/>
              <w:start w:w="120" w:type="dxa"/>
              <w:bottom w:w="80" w:type="dxa"/>
              <w:end w:w="120" w:type="dxa"/>
            </w:tcMar>
            <w:vAlign w:val="center"/>
          </w:tcPr>
          <w:p>
            <w:pPr>
              <w:spacing w:after="40"/>
            </w:pPr>
            <w:r>
              <w:rPr>
                <w:sz w:val="20"/>
              </w:rPr>
              <w:t>Solo para pagos fiscales o ajuste documentado.</w:t>
            </w:r>
          </w:p>
        </w:tc>
      </w:tr>
      <w:tr>
        <w:trPr>
          <w:cantSplit/>
        </w:trPr>
        <w:tc>
          <w:tcPr>
            <w:tcW w:type="dxa" w:w="2088"/>
            <w:tcMar>
              <w:top w:w="80" w:type="dxa"/>
              <w:start w:w="120" w:type="dxa"/>
              <w:bottom w:w="80" w:type="dxa"/>
              <w:end w:w="120" w:type="dxa"/>
            </w:tcMar>
            <w:vAlign w:val="center"/>
          </w:tcPr>
          <w:p>
            <w:pPr>
              <w:spacing w:after="40"/>
            </w:pPr>
            <w:r>
              <w:rPr>
                <w:sz w:val="20"/>
              </w:rPr>
              <w:t>Contracargos/reembolsos</w:t>
            </w:r>
          </w:p>
        </w:tc>
        <w:tc>
          <w:tcPr>
            <w:tcW w:type="dxa" w:w="5112"/>
            <w:tcMar>
              <w:top w:w="80" w:type="dxa"/>
              <w:start w:w="120" w:type="dxa"/>
              <w:bottom w:w="80" w:type="dxa"/>
              <w:end w:w="120" w:type="dxa"/>
            </w:tcMar>
            <w:vAlign w:val="center"/>
          </w:tcPr>
          <w:p>
            <w:pPr>
              <w:spacing w:after="40"/>
            </w:pPr>
            <w:r>
              <w:rPr>
                <w:sz w:val="20"/>
              </w:rPr>
              <w:t>Mayor entre mínimo de pasarela y historial de 90–180 días.</w:t>
            </w:r>
          </w:p>
        </w:tc>
        <w:tc>
          <w:tcPr>
            <w:tcW w:type="dxa" w:w="2160"/>
            <w:tcMar>
              <w:top w:w="80" w:type="dxa"/>
              <w:start w:w="120" w:type="dxa"/>
              <w:bottom w:w="80" w:type="dxa"/>
              <w:end w:w="120" w:type="dxa"/>
            </w:tcMar>
            <w:vAlign w:val="center"/>
          </w:tcPr>
          <w:p>
            <w:pPr>
              <w:spacing w:after="40"/>
            </w:pPr>
            <w:r>
              <w:rPr>
                <w:sz w:val="20"/>
              </w:rPr>
              <w:t>Después de ventana de disputa.</w:t>
            </w:r>
          </w:p>
        </w:tc>
      </w:tr>
      <w:tr>
        <w:trPr>
          <w:cantSplit/>
        </w:trPr>
        <w:tc>
          <w:tcPr>
            <w:tcW w:type="dxa" w:w="2088"/>
            <w:tcMar>
              <w:top w:w="80" w:type="dxa"/>
              <w:start w:w="120" w:type="dxa"/>
              <w:bottom w:w="80" w:type="dxa"/>
              <w:end w:w="120" w:type="dxa"/>
            </w:tcMar>
            <w:vAlign w:val="center"/>
          </w:tcPr>
          <w:p>
            <w:pPr>
              <w:spacing w:after="40"/>
            </w:pPr>
            <w:r>
              <w:rPr>
                <w:sz w:val="20"/>
              </w:rPr>
              <w:t>Licencias</w:t>
            </w:r>
          </w:p>
        </w:tc>
        <w:tc>
          <w:tcPr>
            <w:tcW w:type="dxa" w:w="5112"/>
            <w:tcMar>
              <w:top w:w="80" w:type="dxa"/>
              <w:start w:w="120" w:type="dxa"/>
              <w:bottom w:w="80" w:type="dxa"/>
              <w:end w:w="120" w:type="dxa"/>
            </w:tcMar>
            <w:vAlign w:val="center"/>
          </w:tcPr>
          <w:p>
            <w:pPr>
              <w:spacing w:after="40"/>
            </w:pPr>
            <w:r>
              <w:rPr>
                <w:sz w:val="20"/>
              </w:rPr>
              <w:t>Mínimos, reportes y regalías devengadas.</w:t>
            </w:r>
          </w:p>
        </w:tc>
        <w:tc>
          <w:tcPr>
            <w:tcW w:type="dxa" w:w="2160"/>
            <w:tcMar>
              <w:top w:w="80" w:type="dxa"/>
              <w:start w:w="120" w:type="dxa"/>
              <w:bottom w:w="80" w:type="dxa"/>
              <w:end w:w="120" w:type="dxa"/>
            </w:tcMar>
            <w:vAlign w:val="center"/>
          </w:tcPr>
          <w:p>
            <w:pPr>
              <w:spacing w:after="40"/>
            </w:pPr>
            <w:r>
              <w:rPr>
                <w:sz w:val="20"/>
              </w:rPr>
              <w:t>Pago contractual conciliado.</w:t>
            </w:r>
          </w:p>
        </w:tc>
      </w:tr>
      <w:tr>
        <w:trPr>
          <w:cantSplit/>
        </w:trPr>
        <w:tc>
          <w:tcPr>
            <w:tcW w:type="dxa" w:w="2088"/>
            <w:tcMar>
              <w:top w:w="80" w:type="dxa"/>
              <w:start w:w="120" w:type="dxa"/>
              <w:bottom w:w="80" w:type="dxa"/>
              <w:end w:w="120" w:type="dxa"/>
            </w:tcMar>
            <w:vAlign w:val="center"/>
          </w:tcPr>
          <w:p>
            <w:pPr>
              <w:spacing w:after="40"/>
            </w:pPr>
            <w:r>
              <w:rPr>
                <w:sz w:val="20"/>
              </w:rPr>
              <w:t>Continuidad</w:t>
            </w:r>
          </w:p>
        </w:tc>
        <w:tc>
          <w:tcPr>
            <w:tcW w:type="dxa" w:w="5112"/>
            <w:tcMar>
              <w:top w:w="80" w:type="dxa"/>
              <w:start w:w="120" w:type="dxa"/>
              <w:bottom w:w="80" w:type="dxa"/>
              <w:end w:w="120" w:type="dxa"/>
            </w:tcMar>
            <w:vAlign w:val="center"/>
          </w:tcPr>
          <w:p>
            <w:pPr>
              <w:spacing w:after="40"/>
            </w:pPr>
            <w:r>
              <w:rPr>
                <w:sz w:val="20"/>
              </w:rPr>
              <w:t>3–6 meses de costos fijos antes de expandir.</w:t>
            </w:r>
          </w:p>
        </w:tc>
        <w:tc>
          <w:tcPr>
            <w:tcW w:type="dxa" w:w="2160"/>
            <w:tcMar>
              <w:top w:w="80" w:type="dxa"/>
              <w:start w:w="120" w:type="dxa"/>
              <w:bottom w:w="80" w:type="dxa"/>
              <w:end w:w="120" w:type="dxa"/>
            </w:tcMar>
            <w:vAlign w:val="center"/>
          </w:tcPr>
          <w:p>
            <w:pPr>
              <w:spacing w:after="40"/>
            </w:pPr>
            <w:r>
              <w:rPr>
                <w:sz w:val="20"/>
              </w:rPr>
              <w:t>Decisión formal con runway actualizado.</w:t>
            </w:r>
          </w:p>
        </w:tc>
      </w:tr>
      <w:tr>
        <w:trPr>
          <w:cantSplit/>
        </w:trPr>
        <w:tc>
          <w:tcPr>
            <w:tcW w:type="dxa" w:w="2088"/>
            <w:tcMar>
              <w:top w:w="80" w:type="dxa"/>
              <w:start w:w="120" w:type="dxa"/>
              <w:bottom w:w="80" w:type="dxa"/>
              <w:end w:w="120" w:type="dxa"/>
            </w:tcMar>
            <w:vAlign w:val="center"/>
          </w:tcPr>
          <w:p>
            <w:pPr>
              <w:spacing w:after="40"/>
            </w:pPr>
            <w:r>
              <w:rPr>
                <w:sz w:val="20"/>
              </w:rPr>
              <w:t>Incidentes</w:t>
            </w:r>
          </w:p>
        </w:tc>
        <w:tc>
          <w:tcPr>
            <w:tcW w:type="dxa" w:w="5112"/>
            <w:tcMar>
              <w:top w:w="80" w:type="dxa"/>
              <w:start w:w="120" w:type="dxa"/>
              <w:bottom w:w="80" w:type="dxa"/>
              <w:end w:w="120" w:type="dxa"/>
            </w:tcMar>
            <w:vAlign w:val="center"/>
          </w:tcPr>
          <w:p>
            <w:pPr>
              <w:spacing w:after="40"/>
            </w:pPr>
            <w:r>
              <w:rPr>
                <w:sz w:val="20"/>
              </w:rPr>
              <w:t>Fondo para soporte, peritaje y comunicación.</w:t>
            </w:r>
          </w:p>
        </w:tc>
        <w:tc>
          <w:tcPr>
            <w:tcW w:type="dxa" w:w="2160"/>
            <w:tcMar>
              <w:top w:w="80" w:type="dxa"/>
              <w:start w:w="120" w:type="dxa"/>
              <w:bottom w:w="80" w:type="dxa"/>
              <w:end w:w="120" w:type="dxa"/>
            </w:tcMar>
            <w:vAlign w:val="center"/>
          </w:tcPr>
          <w:p>
            <w:pPr>
              <w:spacing w:after="40"/>
            </w:pPr>
            <w:r>
              <w:rPr>
                <w:sz w:val="20"/>
              </w:rPr>
              <w:t>Incidente aprobado o renovación anual.</w:t>
            </w:r>
          </w:p>
        </w:tc>
      </w:tr>
    </w:tbl>
    <w:p>
      <w:pPr>
        <w:spacing w:after="20"/>
      </w:pPr>
    </w:p>
    <w:p>
      <w:pPr>
        <w:pStyle w:val="Heading1"/>
      </w:pPr>
      <w:r>
        <w:t>9. Módulo M20 — Finanzas, facturación y cumplimiento</w:t>
      </w:r>
    </w:p>
    <w:p>
      <w:r>
        <w:t>El sistema debe ser libro auxiliar y fuente de evidencia, no un sustituto del contador. Las reglas fiscales deben estar versionadas y aprobadas; las cifras tributarias visibles deben marcarse como estimaciones.</w:t>
      </w:r>
    </w:p>
    <w:tbl>
      <w:tblPr>
        <w:tblStyle w:val="TableGrid"/>
        <w:tblW w:type="dxa" w:w="9360"/>
        <w:jc w:val="center"/>
        <w:tblLayout w:type="fixed"/>
        <w:tblLook w:firstColumn="1" w:firstRow="1" w:lastColumn="0" w:lastRow="0" w:noHBand="0" w:noVBand="1" w:val="04A0"/>
        <w:tblInd w:w="120" w:type="dxa"/>
      </w:tblPr>
      <w:tblGrid>
        <w:gridCol w:w="2232"/>
        <w:gridCol w:w="4968"/>
        <w:gridCol w:w="2160"/>
      </w:tblGrid>
      <w:tr>
        <w:trPr>
          <w:tblHeader/>
          <w:cantSplit/>
        </w:trPr>
        <w:tc>
          <w:tcPr>
            <w:tcW w:type="dxa" w:w="2232"/>
            <w:shd w:fill="E8EEF5"/>
            <w:tcMar>
              <w:top w:w="80" w:type="dxa"/>
              <w:start w:w="120" w:type="dxa"/>
              <w:bottom w:w="80" w:type="dxa"/>
              <w:end w:w="120" w:type="dxa"/>
            </w:tcMar>
            <w:vAlign w:val="center"/>
          </w:tcPr>
          <w:p>
            <w:r>
              <w:rPr>
                <w:b/>
              </w:rPr>
              <w:t>Objeto/función</w:t>
            </w:r>
          </w:p>
        </w:tc>
        <w:tc>
          <w:tcPr>
            <w:tcW w:type="dxa" w:w="4968"/>
            <w:shd w:fill="E8EEF5"/>
            <w:tcMar>
              <w:top w:w="80" w:type="dxa"/>
              <w:start w:w="120" w:type="dxa"/>
              <w:bottom w:w="80" w:type="dxa"/>
              <w:end w:w="120" w:type="dxa"/>
            </w:tcMar>
            <w:vAlign w:val="center"/>
          </w:tcPr>
          <w:p>
            <w:r>
              <w:rPr>
                <w:b/>
              </w:rPr>
              <w:t>Datos mínimos</w:t>
            </w:r>
          </w:p>
        </w:tc>
        <w:tc>
          <w:tcPr>
            <w:tcW w:type="dxa" w:w="2160"/>
            <w:shd w:fill="E8EEF5"/>
            <w:tcMar>
              <w:top w:w="80" w:type="dxa"/>
              <w:start w:w="120" w:type="dxa"/>
              <w:bottom w:w="80" w:type="dxa"/>
              <w:end w:w="120" w:type="dxa"/>
            </w:tcMar>
            <w:vAlign w:val="center"/>
          </w:tcPr>
          <w:p>
            <w:r>
              <w:rPr>
                <w:b/>
              </w:rPr>
              <w:t>Regla</w:t>
            </w:r>
          </w:p>
        </w:tc>
      </w:tr>
      <w:tr>
        <w:trPr>
          <w:cantSplit/>
        </w:trPr>
        <w:tc>
          <w:tcPr>
            <w:tcW w:type="dxa" w:w="2232"/>
            <w:tcMar>
              <w:top w:w="80" w:type="dxa"/>
              <w:start w:w="120" w:type="dxa"/>
              <w:bottom w:w="80" w:type="dxa"/>
              <w:end w:w="120" w:type="dxa"/>
            </w:tcMar>
            <w:vAlign w:val="center"/>
          </w:tcPr>
          <w:p>
            <w:pPr>
              <w:spacing w:after="40"/>
            </w:pPr>
            <w:r>
              <w:rPr>
                <w:sz w:val="18"/>
              </w:rPr>
              <w:t>payment_transaction</w:t>
            </w:r>
          </w:p>
        </w:tc>
        <w:tc>
          <w:tcPr>
            <w:tcW w:type="dxa" w:w="4968"/>
            <w:tcMar>
              <w:top w:w="80" w:type="dxa"/>
              <w:start w:w="120" w:type="dxa"/>
              <w:bottom w:w="80" w:type="dxa"/>
              <w:end w:w="120" w:type="dxa"/>
            </w:tcMar>
            <w:vAlign w:val="center"/>
          </w:tcPr>
          <w:p>
            <w:pPr>
              <w:spacing w:after="40"/>
            </w:pPr>
            <w:r>
              <w:rPr>
                <w:sz w:val="18"/>
              </w:rPr>
              <w:t>ID proveedor, bruto, moneda, país, fecha, estado.</w:t>
            </w:r>
          </w:p>
        </w:tc>
        <w:tc>
          <w:tcPr>
            <w:tcW w:type="dxa" w:w="2160"/>
            <w:tcMar>
              <w:top w:w="80" w:type="dxa"/>
              <w:start w:w="120" w:type="dxa"/>
              <w:bottom w:w="80" w:type="dxa"/>
              <w:end w:w="120" w:type="dxa"/>
            </w:tcMar>
            <w:vAlign w:val="center"/>
          </w:tcPr>
          <w:p>
            <w:pPr>
              <w:spacing w:after="40"/>
            </w:pPr>
            <w:r>
              <w:rPr>
                <w:sz w:val="18"/>
              </w:rPr>
              <w:t>Idempotente; nunca tarjeta completa/CVV.</w:t>
            </w:r>
          </w:p>
        </w:tc>
      </w:tr>
      <w:tr>
        <w:trPr>
          <w:cantSplit/>
        </w:trPr>
        <w:tc>
          <w:tcPr>
            <w:tcW w:type="dxa" w:w="2232"/>
            <w:tcMar>
              <w:top w:w="80" w:type="dxa"/>
              <w:start w:w="120" w:type="dxa"/>
              <w:bottom w:w="80" w:type="dxa"/>
              <w:end w:w="120" w:type="dxa"/>
            </w:tcMar>
            <w:vAlign w:val="center"/>
          </w:tcPr>
          <w:p>
            <w:pPr>
              <w:spacing w:after="40"/>
            </w:pPr>
            <w:r>
              <w:rPr>
                <w:sz w:val="18"/>
              </w:rPr>
              <w:t>tax_component</w:t>
            </w:r>
          </w:p>
        </w:tc>
        <w:tc>
          <w:tcPr>
            <w:tcW w:type="dxa" w:w="4968"/>
            <w:tcMar>
              <w:top w:w="80" w:type="dxa"/>
              <w:start w:w="120" w:type="dxa"/>
              <w:bottom w:w="80" w:type="dxa"/>
              <w:end w:w="120" w:type="dxa"/>
            </w:tcMar>
            <w:vAlign w:val="center"/>
          </w:tcPr>
          <w:p>
            <w:pPr>
              <w:spacing w:after="40"/>
            </w:pPr>
            <w:r>
              <w:rPr>
                <w:sz w:val="18"/>
              </w:rPr>
              <w:t>Tipo, base, tarifa, monto, jurisdicción, versión.</w:t>
            </w:r>
          </w:p>
        </w:tc>
        <w:tc>
          <w:tcPr>
            <w:tcW w:type="dxa" w:w="2160"/>
            <w:tcMar>
              <w:top w:w="80" w:type="dxa"/>
              <w:start w:w="120" w:type="dxa"/>
              <w:bottom w:w="80" w:type="dxa"/>
              <w:end w:w="120" w:type="dxa"/>
            </w:tcMar>
            <w:vAlign w:val="center"/>
          </w:tcPr>
          <w:p>
            <w:pPr>
              <w:spacing w:after="40"/>
            </w:pPr>
            <w:r>
              <w:rPr>
                <w:sz w:val="18"/>
              </w:rPr>
              <w:t>Configurado por vigencia y aprobación.</w:t>
            </w:r>
          </w:p>
        </w:tc>
      </w:tr>
      <w:tr>
        <w:trPr>
          <w:cantSplit/>
        </w:trPr>
        <w:tc>
          <w:tcPr>
            <w:tcW w:type="dxa" w:w="2232"/>
            <w:tcMar>
              <w:top w:w="80" w:type="dxa"/>
              <w:start w:w="120" w:type="dxa"/>
              <w:bottom w:w="80" w:type="dxa"/>
              <w:end w:w="120" w:type="dxa"/>
            </w:tcMar>
            <w:vAlign w:val="center"/>
          </w:tcPr>
          <w:p>
            <w:pPr>
              <w:spacing w:after="40"/>
            </w:pPr>
            <w:r>
              <w:rPr>
                <w:sz w:val="18"/>
              </w:rPr>
              <w:t>processor_fee</w:t>
            </w:r>
          </w:p>
        </w:tc>
        <w:tc>
          <w:tcPr>
            <w:tcW w:type="dxa" w:w="4968"/>
            <w:tcMar>
              <w:top w:w="80" w:type="dxa"/>
              <w:start w:w="120" w:type="dxa"/>
              <w:bottom w:w="80" w:type="dxa"/>
              <w:end w:w="120" w:type="dxa"/>
            </w:tcMar>
            <w:vAlign w:val="center"/>
          </w:tcPr>
          <w:p>
            <w:pPr>
              <w:spacing w:after="40"/>
            </w:pPr>
            <w:r>
              <w:rPr>
                <w:sz w:val="18"/>
              </w:rPr>
              <w:t>Comisión fija/variable, moneda e impuesto.</w:t>
            </w:r>
          </w:p>
        </w:tc>
        <w:tc>
          <w:tcPr>
            <w:tcW w:type="dxa" w:w="2160"/>
            <w:tcMar>
              <w:top w:w="80" w:type="dxa"/>
              <w:start w:w="120" w:type="dxa"/>
              <w:bottom w:w="80" w:type="dxa"/>
              <w:end w:w="120" w:type="dxa"/>
            </w:tcMar>
            <w:vAlign w:val="center"/>
          </w:tcPr>
          <w:p>
            <w:pPr>
              <w:spacing w:after="40"/>
            </w:pPr>
            <w:r>
              <w:rPr>
                <w:sz w:val="18"/>
              </w:rPr>
              <w:t>Separada del ingreso.</w:t>
            </w:r>
          </w:p>
        </w:tc>
      </w:tr>
      <w:tr>
        <w:trPr>
          <w:cantSplit/>
        </w:trPr>
        <w:tc>
          <w:tcPr>
            <w:tcW w:type="dxa" w:w="2232"/>
            <w:tcMar>
              <w:top w:w="80" w:type="dxa"/>
              <w:start w:w="120" w:type="dxa"/>
              <w:bottom w:w="80" w:type="dxa"/>
              <w:end w:w="120" w:type="dxa"/>
            </w:tcMar>
            <w:vAlign w:val="center"/>
          </w:tcPr>
          <w:p>
            <w:pPr>
              <w:spacing w:after="40"/>
            </w:pPr>
            <w:r>
              <w:rPr>
                <w:sz w:val="18"/>
              </w:rPr>
              <w:t>settlement</w:t>
            </w:r>
          </w:p>
        </w:tc>
        <w:tc>
          <w:tcPr>
            <w:tcW w:type="dxa" w:w="4968"/>
            <w:tcMar>
              <w:top w:w="80" w:type="dxa"/>
              <w:start w:w="120" w:type="dxa"/>
              <w:bottom w:w="80" w:type="dxa"/>
              <w:end w:w="120" w:type="dxa"/>
            </w:tcMar>
            <w:vAlign w:val="center"/>
          </w:tcPr>
          <w:p>
            <w:pPr>
              <w:spacing w:after="40"/>
            </w:pPr>
            <w:r>
              <w:rPr>
                <w:sz w:val="18"/>
              </w:rPr>
              <w:t>Depósito, banco, fecha, lote y tipo de cambio.</w:t>
            </w:r>
          </w:p>
        </w:tc>
        <w:tc>
          <w:tcPr>
            <w:tcW w:type="dxa" w:w="2160"/>
            <w:tcMar>
              <w:top w:w="80" w:type="dxa"/>
              <w:start w:w="120" w:type="dxa"/>
              <w:bottom w:w="80" w:type="dxa"/>
              <w:end w:w="120" w:type="dxa"/>
            </w:tcMar>
            <w:vAlign w:val="center"/>
          </w:tcPr>
          <w:p>
            <w:pPr>
              <w:spacing w:after="40"/>
            </w:pPr>
            <w:r>
              <w:rPr>
                <w:sz w:val="18"/>
              </w:rPr>
              <w:t>Conciliación 1:N con pagos.</w:t>
            </w:r>
          </w:p>
        </w:tc>
      </w:tr>
      <w:tr>
        <w:trPr>
          <w:cantSplit/>
        </w:trPr>
        <w:tc>
          <w:tcPr>
            <w:tcW w:type="dxa" w:w="2232"/>
            <w:tcMar>
              <w:top w:w="80" w:type="dxa"/>
              <w:start w:w="120" w:type="dxa"/>
              <w:bottom w:w="80" w:type="dxa"/>
              <w:end w:w="120" w:type="dxa"/>
            </w:tcMar>
            <w:vAlign w:val="center"/>
          </w:tcPr>
          <w:p>
            <w:pPr>
              <w:spacing w:after="40"/>
            </w:pPr>
            <w:r>
              <w:rPr>
                <w:sz w:val="18"/>
              </w:rPr>
              <w:t>refund/chargeback</w:t>
            </w:r>
          </w:p>
        </w:tc>
        <w:tc>
          <w:tcPr>
            <w:tcW w:type="dxa" w:w="4968"/>
            <w:tcMar>
              <w:top w:w="80" w:type="dxa"/>
              <w:start w:w="120" w:type="dxa"/>
              <w:bottom w:w="80" w:type="dxa"/>
              <w:end w:w="120" w:type="dxa"/>
            </w:tcMar>
            <w:vAlign w:val="center"/>
          </w:tcPr>
          <w:p>
            <w:pPr>
              <w:spacing w:after="40"/>
            </w:pPr>
            <w:r>
              <w:rPr>
                <w:sz w:val="18"/>
              </w:rPr>
              <w:t>Monto, motivo, fecha, evidencia y estado.</w:t>
            </w:r>
          </w:p>
        </w:tc>
        <w:tc>
          <w:tcPr>
            <w:tcW w:type="dxa" w:w="2160"/>
            <w:tcMar>
              <w:top w:w="80" w:type="dxa"/>
              <w:start w:w="120" w:type="dxa"/>
              <w:bottom w:w="80" w:type="dxa"/>
              <w:end w:w="120" w:type="dxa"/>
            </w:tcMar>
            <w:vAlign w:val="center"/>
          </w:tcPr>
          <w:p>
            <w:pPr>
              <w:spacing w:after="40"/>
            </w:pPr>
            <w:r>
              <w:rPr>
                <w:sz w:val="18"/>
              </w:rPr>
              <w:t>Movimiento nuevo; no borrar original.</w:t>
            </w:r>
          </w:p>
        </w:tc>
      </w:tr>
      <w:tr>
        <w:trPr>
          <w:cantSplit/>
        </w:trPr>
        <w:tc>
          <w:tcPr>
            <w:tcW w:type="dxa" w:w="2232"/>
            <w:tcMar>
              <w:top w:w="80" w:type="dxa"/>
              <w:start w:w="120" w:type="dxa"/>
              <w:bottom w:w="80" w:type="dxa"/>
              <w:end w:w="120" w:type="dxa"/>
            </w:tcMar>
            <w:vAlign w:val="center"/>
          </w:tcPr>
          <w:p>
            <w:pPr>
              <w:spacing w:after="40"/>
            </w:pPr>
            <w:r>
              <w:rPr>
                <w:sz w:val="18"/>
              </w:rPr>
              <w:t>invoice_reference</w:t>
            </w:r>
          </w:p>
        </w:tc>
        <w:tc>
          <w:tcPr>
            <w:tcW w:type="dxa" w:w="4968"/>
            <w:tcMar>
              <w:top w:w="80" w:type="dxa"/>
              <w:start w:w="120" w:type="dxa"/>
              <w:bottom w:w="80" w:type="dxa"/>
              <w:end w:w="120" w:type="dxa"/>
            </w:tcMar>
            <w:vAlign w:val="center"/>
          </w:tcPr>
          <w:p>
            <w:pPr>
              <w:spacing w:after="40"/>
            </w:pPr>
            <w:r>
              <w:rPr>
                <w:sz w:val="18"/>
              </w:rPr>
              <w:t>Tipo, clave, estado Hacienda y XML/PDF.</w:t>
            </w:r>
          </w:p>
        </w:tc>
        <w:tc>
          <w:tcPr>
            <w:tcW w:type="dxa" w:w="2160"/>
            <w:tcMar>
              <w:top w:w="80" w:type="dxa"/>
              <w:start w:w="120" w:type="dxa"/>
              <w:bottom w:w="80" w:type="dxa"/>
              <w:end w:w="120" w:type="dxa"/>
            </w:tcMar>
            <w:vAlign w:val="center"/>
          </w:tcPr>
          <w:p>
            <w:pPr>
              <w:spacing w:after="40"/>
            </w:pPr>
            <w:r>
              <w:rPr>
                <w:sz w:val="18"/>
              </w:rPr>
              <w:t>Retención y acceso definidos.</w:t>
            </w:r>
          </w:p>
        </w:tc>
      </w:tr>
      <w:tr>
        <w:trPr>
          <w:cantSplit/>
        </w:trPr>
        <w:tc>
          <w:tcPr>
            <w:tcW w:type="dxa" w:w="2232"/>
            <w:tcMar>
              <w:top w:w="80" w:type="dxa"/>
              <w:start w:w="120" w:type="dxa"/>
              <w:bottom w:w="80" w:type="dxa"/>
              <w:end w:w="120" w:type="dxa"/>
            </w:tcMar>
            <w:vAlign w:val="center"/>
          </w:tcPr>
          <w:p>
            <w:pPr>
              <w:spacing w:after="40"/>
            </w:pPr>
            <w:r>
              <w:rPr>
                <w:sz w:val="18"/>
              </w:rPr>
              <w:t>expense</w:t>
            </w:r>
          </w:p>
        </w:tc>
        <w:tc>
          <w:tcPr>
            <w:tcW w:type="dxa" w:w="4968"/>
            <w:tcMar>
              <w:top w:w="80" w:type="dxa"/>
              <w:start w:w="120" w:type="dxa"/>
              <w:bottom w:w="80" w:type="dxa"/>
              <w:end w:w="120" w:type="dxa"/>
            </w:tcMar>
            <w:vAlign w:val="center"/>
          </w:tcPr>
          <w:p>
            <w:pPr>
              <w:spacing w:after="40"/>
            </w:pPr>
            <w:r>
              <w:rPr>
                <w:sz w:val="18"/>
              </w:rPr>
              <w:t>Proveedor, categoría, comprobante, moneda, proyecto.</w:t>
            </w:r>
          </w:p>
        </w:tc>
        <w:tc>
          <w:tcPr>
            <w:tcW w:type="dxa" w:w="2160"/>
            <w:tcMar>
              <w:top w:w="80" w:type="dxa"/>
              <w:start w:w="120" w:type="dxa"/>
              <w:bottom w:w="80" w:type="dxa"/>
              <w:end w:w="120" w:type="dxa"/>
            </w:tcMar>
            <w:vAlign w:val="center"/>
          </w:tcPr>
          <w:p>
            <w:pPr>
              <w:spacing w:after="40"/>
            </w:pPr>
            <w:r>
              <w:rPr>
                <w:sz w:val="18"/>
              </w:rPr>
              <w:t>Aprobación y deducibilidad revisada.</w:t>
            </w:r>
          </w:p>
        </w:tc>
      </w:tr>
      <w:tr>
        <w:trPr>
          <w:cantSplit/>
        </w:trPr>
        <w:tc>
          <w:tcPr>
            <w:tcW w:type="dxa" w:w="2232"/>
            <w:tcMar>
              <w:top w:w="80" w:type="dxa"/>
              <w:start w:w="120" w:type="dxa"/>
              <w:bottom w:w="80" w:type="dxa"/>
              <w:end w:w="120" w:type="dxa"/>
            </w:tcMar>
            <w:vAlign w:val="center"/>
          </w:tcPr>
          <w:p>
            <w:pPr>
              <w:spacing w:after="40"/>
            </w:pPr>
            <w:r>
              <w:rPr>
                <w:sz w:val="18"/>
              </w:rPr>
              <w:t>monthly_close</w:t>
            </w:r>
          </w:p>
        </w:tc>
        <w:tc>
          <w:tcPr>
            <w:tcW w:type="dxa" w:w="4968"/>
            <w:tcMar>
              <w:top w:w="80" w:type="dxa"/>
              <w:start w:w="120" w:type="dxa"/>
              <w:bottom w:w="80" w:type="dxa"/>
              <w:end w:w="120" w:type="dxa"/>
            </w:tcMar>
            <w:vAlign w:val="center"/>
          </w:tcPr>
          <w:p>
            <w:pPr>
              <w:spacing w:after="40"/>
            </w:pPr>
            <w:r>
              <w:rPr>
                <w:sz w:val="18"/>
              </w:rPr>
              <w:t>Totales, diferencias, aprobaciones y bloqueo.</w:t>
            </w:r>
          </w:p>
        </w:tc>
        <w:tc>
          <w:tcPr>
            <w:tcW w:type="dxa" w:w="2160"/>
            <w:tcMar>
              <w:top w:w="80" w:type="dxa"/>
              <w:start w:w="120" w:type="dxa"/>
              <w:bottom w:w="80" w:type="dxa"/>
              <w:end w:w="120" w:type="dxa"/>
            </w:tcMar>
            <w:vAlign w:val="center"/>
          </w:tcPr>
          <w:p>
            <w:pPr>
              <w:spacing w:after="40"/>
            </w:pPr>
            <w:r>
              <w:rPr>
                <w:sz w:val="18"/>
              </w:rPr>
              <w:t>Reapertura auditada.</w:t>
            </w:r>
          </w:p>
        </w:tc>
      </w:tr>
      <w:tr>
        <w:trPr>
          <w:cantSplit/>
        </w:trPr>
        <w:tc>
          <w:tcPr>
            <w:tcW w:type="dxa" w:w="2232"/>
            <w:tcMar>
              <w:top w:w="80" w:type="dxa"/>
              <w:start w:w="120" w:type="dxa"/>
              <w:bottom w:w="80" w:type="dxa"/>
              <w:end w:w="120" w:type="dxa"/>
            </w:tcMar>
            <w:vAlign w:val="center"/>
          </w:tcPr>
          <w:p>
            <w:pPr>
              <w:spacing w:after="40"/>
            </w:pPr>
            <w:r>
              <w:rPr>
                <w:sz w:val="18"/>
              </w:rPr>
              <w:t>export</w:t>
            </w:r>
          </w:p>
        </w:tc>
        <w:tc>
          <w:tcPr>
            <w:tcW w:type="dxa" w:w="4968"/>
            <w:tcMar>
              <w:top w:w="80" w:type="dxa"/>
              <w:start w:w="120" w:type="dxa"/>
              <w:bottom w:w="80" w:type="dxa"/>
              <w:end w:w="120" w:type="dxa"/>
            </w:tcMar>
            <w:vAlign w:val="center"/>
          </w:tcPr>
          <w:p>
            <w:pPr>
              <w:spacing w:after="40"/>
            </w:pPr>
            <w:r>
              <w:rPr>
                <w:sz w:val="18"/>
              </w:rPr>
              <w:t>CSV/Excel/API para contador.</w:t>
            </w:r>
          </w:p>
        </w:tc>
        <w:tc>
          <w:tcPr>
            <w:tcW w:type="dxa" w:w="2160"/>
            <w:tcMar>
              <w:top w:w="80" w:type="dxa"/>
              <w:start w:w="120" w:type="dxa"/>
              <w:bottom w:w="80" w:type="dxa"/>
              <w:end w:w="120" w:type="dxa"/>
            </w:tcMar>
            <w:vAlign w:val="center"/>
          </w:tcPr>
          <w:p>
            <w:pPr>
              <w:spacing w:after="40"/>
            </w:pPr>
            <w:r>
              <w:rPr>
                <w:sz w:val="18"/>
              </w:rPr>
              <w:t>Checksum, rango y versión.</w:t>
            </w:r>
          </w:p>
        </w:tc>
      </w:tr>
    </w:tbl>
    <w:p>
      <w:pPr>
        <w:spacing w:after="20"/>
      </w:pPr>
    </w:p>
    <w:p>
      <w:pPr>
        <w:pStyle w:val="Heading1"/>
      </w:pPr>
      <w:r>
        <w:t>10. Contabilidad y conciliación mensual</w:t>
      </w:r>
    </w:p>
    <w:p>
      <w:pPr>
        <w:pStyle w:val="ListNumber"/>
      </w:pPr>
      <w:r>
        <w:t>Cerrar lotes de pasarela y comprobar que cada cobro tenga estado final.</w:t>
      </w:r>
    </w:p>
    <w:p>
      <w:pPr>
        <w:pStyle w:val="ListNumber"/>
      </w:pPr>
      <w:r>
        <w:t>Conciliar bruto, comisión, impuesto, devolución, contracargo y depósito bancario.</w:t>
      </w:r>
    </w:p>
    <w:p>
      <w:pPr>
        <w:pStyle w:val="ListNumber"/>
      </w:pPr>
      <w:r>
        <w:t>Convertir monedas con la política y fuente aprobadas por el contador.</w:t>
      </w:r>
    </w:p>
    <w:p>
      <w:pPr>
        <w:pStyle w:val="ListNumber"/>
      </w:pPr>
      <w:r>
        <w:t>Vincular comprobantes electrónicos y gastos; revisar documentos faltantes.</w:t>
      </w:r>
    </w:p>
    <w:p>
      <w:pPr>
        <w:pStyle w:val="ListNumber"/>
      </w:pPr>
      <w:r>
        <w:t>Calcular regalías conforme al contrato y generar reporte por titular/repertorio.</w:t>
      </w:r>
    </w:p>
    <w:p>
      <w:pPr>
        <w:pStyle w:val="ListNumber"/>
      </w:pPr>
      <w:r>
        <w:t>Estimar reservas fiscales sin presentar automáticamente declaraciones.</w:t>
      </w:r>
    </w:p>
    <w:p>
      <w:pPr>
        <w:pStyle w:val="ListNumber"/>
      </w:pPr>
      <w:r>
        <w:t>Exportar el libro auxiliar, resolver diferencias y obtener aprobación del cierre.</w:t>
      </w:r>
    </w:p>
    <w:p>
      <w:pPr>
        <w:pStyle w:val="ListNumber"/>
      </w:pPr>
      <w:r>
        <w:t>Archivar evidencia, bloquear el período y ejecutar la retención aplicable.</w:t>
      </w:r>
    </w:p>
    <w:p>
      <w:pPr>
        <w:pStyle w:val="Heading1"/>
      </w:pPr>
      <w:r>
        <w:t>11. Métricas económicas de decisión</w:t>
      </w:r>
    </w:p>
    <w:tbl>
      <w:tblPr>
        <w:tblStyle w:val="TableGrid"/>
        <w:tblW w:type="dxa" w:w="9360"/>
        <w:jc w:val="center"/>
        <w:tblLayout w:type="fixed"/>
        <w:tblLook w:firstColumn="1" w:firstRow="1" w:lastColumn="0" w:lastRow="0" w:noHBand="0" w:noVBand="1" w:val="04A0"/>
        <w:tblInd w:w="120" w:type="dxa"/>
      </w:tblPr>
      <w:tblGrid>
        <w:gridCol w:w="2160"/>
        <w:gridCol w:w="4536"/>
        <w:gridCol w:w="2664"/>
      </w:tblGrid>
      <w:tr>
        <w:trPr>
          <w:tblHeader/>
          <w:cantSplit/>
        </w:trPr>
        <w:tc>
          <w:tcPr>
            <w:tcW w:type="dxa" w:w="2160"/>
            <w:shd w:fill="E8EEF5"/>
            <w:tcMar>
              <w:top w:w="80" w:type="dxa"/>
              <w:start w:w="120" w:type="dxa"/>
              <w:bottom w:w="80" w:type="dxa"/>
              <w:end w:w="120" w:type="dxa"/>
            </w:tcMar>
            <w:vAlign w:val="center"/>
          </w:tcPr>
          <w:p>
            <w:r>
              <w:rPr>
                <w:b/>
              </w:rPr>
              <w:t>Métrica</w:t>
            </w:r>
          </w:p>
        </w:tc>
        <w:tc>
          <w:tcPr>
            <w:tcW w:type="dxa" w:w="4536"/>
            <w:shd w:fill="E8EEF5"/>
            <w:tcMar>
              <w:top w:w="80" w:type="dxa"/>
              <w:start w:w="120" w:type="dxa"/>
              <w:bottom w:w="80" w:type="dxa"/>
              <w:end w:w="120" w:type="dxa"/>
            </w:tcMar>
            <w:vAlign w:val="center"/>
          </w:tcPr>
          <w:p>
            <w:r>
              <w:rPr>
                <w:b/>
              </w:rPr>
              <w:t>Definición</w:t>
            </w:r>
          </w:p>
        </w:tc>
        <w:tc>
          <w:tcPr>
            <w:tcW w:type="dxa" w:w="2664"/>
            <w:shd w:fill="E8EEF5"/>
            <w:tcMar>
              <w:top w:w="80" w:type="dxa"/>
              <w:start w:w="120" w:type="dxa"/>
              <w:bottom w:w="80" w:type="dxa"/>
              <w:end w:w="120" w:type="dxa"/>
            </w:tcMar>
            <w:vAlign w:val="center"/>
          </w:tcPr>
          <w:p>
            <w:r>
              <w:rPr>
                <w:b/>
              </w:rPr>
              <w:t>Señal de alarma inicial</w:t>
            </w:r>
          </w:p>
        </w:tc>
      </w:tr>
      <w:tr>
        <w:trPr>
          <w:cantSplit/>
        </w:trPr>
        <w:tc>
          <w:tcPr>
            <w:tcW w:type="dxa" w:w="2160"/>
            <w:tcMar>
              <w:top w:w="80" w:type="dxa"/>
              <w:start w:w="120" w:type="dxa"/>
              <w:bottom w:w="80" w:type="dxa"/>
              <w:end w:w="120" w:type="dxa"/>
            </w:tcMar>
            <w:vAlign w:val="center"/>
          </w:tcPr>
          <w:p>
            <w:pPr>
              <w:spacing w:after="40"/>
            </w:pPr>
            <w:r>
              <w:rPr>
                <w:sz w:val="18"/>
              </w:rPr>
              <w:t>Runway</w:t>
            </w:r>
          </w:p>
        </w:tc>
        <w:tc>
          <w:tcPr>
            <w:tcW w:type="dxa" w:w="4536"/>
            <w:tcMar>
              <w:top w:w="80" w:type="dxa"/>
              <w:start w:w="120" w:type="dxa"/>
              <w:bottom w:w="80" w:type="dxa"/>
              <w:end w:w="120" w:type="dxa"/>
            </w:tcMar>
            <w:vAlign w:val="center"/>
          </w:tcPr>
          <w:p>
            <w:pPr>
              <w:spacing w:after="40"/>
            </w:pPr>
            <w:r>
              <w:rPr>
                <w:sz w:val="18"/>
              </w:rPr>
              <w:t>Meses de caja al gasto actual.</w:t>
            </w:r>
          </w:p>
        </w:tc>
        <w:tc>
          <w:tcPr>
            <w:tcW w:type="dxa" w:w="2664"/>
            <w:tcMar>
              <w:top w:w="80" w:type="dxa"/>
              <w:start w:w="120" w:type="dxa"/>
              <w:bottom w:w="80" w:type="dxa"/>
              <w:end w:w="120" w:type="dxa"/>
            </w:tcMar>
            <w:vAlign w:val="center"/>
          </w:tcPr>
          <w:p>
            <w:pPr>
              <w:spacing w:after="40"/>
            </w:pPr>
            <w:r>
              <w:rPr>
                <w:sz w:val="18"/>
              </w:rPr>
              <w:t>&lt;6 meses antes de expandir.</w:t>
            </w:r>
          </w:p>
        </w:tc>
      </w:tr>
      <w:tr>
        <w:trPr>
          <w:cantSplit/>
        </w:trPr>
        <w:tc>
          <w:tcPr>
            <w:tcW w:type="dxa" w:w="2160"/>
            <w:tcMar>
              <w:top w:w="80" w:type="dxa"/>
              <w:start w:w="120" w:type="dxa"/>
              <w:bottom w:w="80" w:type="dxa"/>
              <w:end w:w="120" w:type="dxa"/>
            </w:tcMar>
            <w:vAlign w:val="center"/>
          </w:tcPr>
          <w:p>
            <w:pPr>
              <w:spacing w:after="40"/>
            </w:pPr>
            <w:r>
              <w:rPr>
                <w:sz w:val="18"/>
              </w:rPr>
              <w:t>Margen de contribución</w:t>
            </w:r>
          </w:p>
        </w:tc>
        <w:tc>
          <w:tcPr>
            <w:tcW w:type="dxa" w:w="4536"/>
            <w:tcMar>
              <w:top w:w="80" w:type="dxa"/>
              <w:start w:w="120" w:type="dxa"/>
              <w:bottom w:w="80" w:type="dxa"/>
              <w:end w:w="120" w:type="dxa"/>
            </w:tcMar>
            <w:vAlign w:val="center"/>
          </w:tcPr>
          <w:p>
            <w:pPr>
              <w:spacing w:after="40"/>
            </w:pPr>
            <w:r>
              <w:rPr>
                <w:sz w:val="18"/>
              </w:rPr>
              <w:t>Ingreso neto menos variables.</w:t>
            </w:r>
          </w:p>
        </w:tc>
        <w:tc>
          <w:tcPr>
            <w:tcW w:type="dxa" w:w="2664"/>
            <w:tcMar>
              <w:top w:w="80" w:type="dxa"/>
              <w:start w:w="120" w:type="dxa"/>
              <w:bottom w:w="80" w:type="dxa"/>
              <w:end w:w="120" w:type="dxa"/>
            </w:tcMar>
            <w:vAlign w:val="center"/>
          </w:tcPr>
          <w:p>
            <w:pPr>
              <w:spacing w:after="40"/>
            </w:pPr>
            <w:r>
              <w:rPr>
                <w:sz w:val="18"/>
              </w:rPr>
              <w:t>Negativo por plan o canción.</w:t>
            </w:r>
          </w:p>
        </w:tc>
      </w:tr>
      <w:tr>
        <w:trPr>
          <w:cantSplit/>
        </w:trPr>
        <w:tc>
          <w:tcPr>
            <w:tcW w:type="dxa" w:w="2160"/>
            <w:tcMar>
              <w:top w:w="80" w:type="dxa"/>
              <w:start w:w="120" w:type="dxa"/>
              <w:bottom w:w="80" w:type="dxa"/>
              <w:end w:w="120" w:type="dxa"/>
            </w:tcMar>
            <w:vAlign w:val="center"/>
          </w:tcPr>
          <w:p>
            <w:pPr>
              <w:spacing w:after="40"/>
            </w:pPr>
            <w:r>
              <w:rPr>
                <w:sz w:val="18"/>
              </w:rPr>
              <w:t>CAC</w:t>
            </w:r>
          </w:p>
        </w:tc>
        <w:tc>
          <w:tcPr>
            <w:tcW w:type="dxa" w:w="4536"/>
            <w:tcMar>
              <w:top w:w="80" w:type="dxa"/>
              <w:start w:w="120" w:type="dxa"/>
              <w:bottom w:w="80" w:type="dxa"/>
              <w:end w:w="120" w:type="dxa"/>
            </w:tcMar>
            <w:vAlign w:val="center"/>
          </w:tcPr>
          <w:p>
            <w:pPr>
              <w:spacing w:after="40"/>
            </w:pPr>
            <w:r>
              <w:rPr>
                <w:sz w:val="18"/>
              </w:rPr>
              <w:t>Gasto de adquisición / nuevos clientes pagos.</w:t>
            </w:r>
          </w:p>
        </w:tc>
        <w:tc>
          <w:tcPr>
            <w:tcW w:type="dxa" w:w="2664"/>
            <w:tcMar>
              <w:top w:w="80" w:type="dxa"/>
              <w:start w:w="120" w:type="dxa"/>
              <w:bottom w:w="80" w:type="dxa"/>
              <w:end w:w="120" w:type="dxa"/>
            </w:tcMar>
            <w:vAlign w:val="center"/>
          </w:tcPr>
          <w:p>
            <w:pPr>
              <w:spacing w:after="40"/>
            </w:pPr>
            <w:r>
              <w:rPr>
                <w:sz w:val="18"/>
              </w:rPr>
              <w:t>Mayor que margen esperado de vida.</w:t>
            </w:r>
          </w:p>
        </w:tc>
      </w:tr>
      <w:tr>
        <w:trPr>
          <w:cantSplit/>
        </w:trPr>
        <w:tc>
          <w:tcPr>
            <w:tcW w:type="dxa" w:w="2160"/>
            <w:tcMar>
              <w:top w:w="80" w:type="dxa"/>
              <w:start w:w="120" w:type="dxa"/>
              <w:bottom w:w="80" w:type="dxa"/>
              <w:end w:w="120" w:type="dxa"/>
            </w:tcMar>
            <w:vAlign w:val="center"/>
          </w:tcPr>
          <w:p>
            <w:pPr>
              <w:spacing w:after="40"/>
            </w:pPr>
            <w:r>
              <w:rPr>
                <w:sz w:val="18"/>
              </w:rPr>
              <w:t>LTV</w:t>
            </w:r>
          </w:p>
        </w:tc>
        <w:tc>
          <w:tcPr>
            <w:tcW w:type="dxa" w:w="4536"/>
            <w:tcMar>
              <w:top w:w="80" w:type="dxa"/>
              <w:start w:w="120" w:type="dxa"/>
              <w:bottom w:w="80" w:type="dxa"/>
              <w:end w:w="120" w:type="dxa"/>
            </w:tcMar>
            <w:vAlign w:val="center"/>
          </w:tcPr>
          <w:p>
            <w:pPr>
              <w:spacing w:after="40"/>
            </w:pPr>
            <w:r>
              <w:rPr>
                <w:sz w:val="18"/>
              </w:rPr>
              <w:t>Margen mensual × vida esperada.</w:t>
            </w:r>
          </w:p>
        </w:tc>
        <w:tc>
          <w:tcPr>
            <w:tcW w:type="dxa" w:w="2664"/>
            <w:tcMar>
              <w:top w:w="80" w:type="dxa"/>
              <w:start w:w="120" w:type="dxa"/>
              <w:bottom w:w="80" w:type="dxa"/>
              <w:end w:w="120" w:type="dxa"/>
            </w:tcMar>
            <w:vAlign w:val="center"/>
          </w:tcPr>
          <w:p>
            <w:pPr>
              <w:spacing w:after="40"/>
            </w:pPr>
            <w:r>
              <w:rPr>
                <w:sz w:val="18"/>
              </w:rPr>
              <w:t>No usar hasta tener cohortes reales.</w:t>
            </w:r>
          </w:p>
        </w:tc>
      </w:tr>
      <w:tr>
        <w:trPr>
          <w:cantSplit/>
        </w:trPr>
        <w:tc>
          <w:tcPr>
            <w:tcW w:type="dxa" w:w="2160"/>
            <w:tcMar>
              <w:top w:w="80" w:type="dxa"/>
              <w:start w:w="120" w:type="dxa"/>
              <w:bottom w:w="80" w:type="dxa"/>
              <w:end w:w="120" w:type="dxa"/>
            </w:tcMar>
            <w:vAlign w:val="center"/>
          </w:tcPr>
          <w:p>
            <w:pPr>
              <w:spacing w:after="40"/>
            </w:pPr>
            <w:r>
              <w:rPr>
                <w:sz w:val="18"/>
              </w:rPr>
              <w:t>Churn</w:t>
            </w:r>
          </w:p>
        </w:tc>
        <w:tc>
          <w:tcPr>
            <w:tcW w:type="dxa" w:w="4536"/>
            <w:tcMar>
              <w:top w:w="80" w:type="dxa"/>
              <w:start w:w="120" w:type="dxa"/>
              <w:bottom w:w="80" w:type="dxa"/>
              <w:end w:w="120" w:type="dxa"/>
            </w:tcMar>
            <w:vAlign w:val="center"/>
          </w:tcPr>
          <w:p>
            <w:pPr>
              <w:spacing w:after="40"/>
            </w:pPr>
            <w:r>
              <w:rPr>
                <w:sz w:val="18"/>
              </w:rPr>
              <w:t>Cancelaciones / suscriptores iniciales.</w:t>
            </w:r>
          </w:p>
        </w:tc>
        <w:tc>
          <w:tcPr>
            <w:tcW w:type="dxa" w:w="2664"/>
            <w:tcMar>
              <w:top w:w="80" w:type="dxa"/>
              <w:start w:w="120" w:type="dxa"/>
              <w:bottom w:w="80" w:type="dxa"/>
              <w:end w:w="120" w:type="dxa"/>
            </w:tcMar>
            <w:vAlign w:val="center"/>
          </w:tcPr>
          <w:p>
            <w:pPr>
              <w:spacing w:after="40"/>
            </w:pPr>
            <w:r>
              <w:rPr>
                <w:sz w:val="18"/>
              </w:rPr>
              <w:t>Tendencia creciente 3 meses.</w:t>
            </w:r>
          </w:p>
        </w:tc>
      </w:tr>
      <w:tr>
        <w:trPr>
          <w:cantSplit/>
        </w:trPr>
        <w:tc>
          <w:tcPr>
            <w:tcW w:type="dxa" w:w="2160"/>
            <w:tcMar>
              <w:top w:w="80" w:type="dxa"/>
              <w:start w:w="120" w:type="dxa"/>
              <w:bottom w:w="80" w:type="dxa"/>
              <w:end w:w="120" w:type="dxa"/>
            </w:tcMar>
            <w:vAlign w:val="center"/>
          </w:tcPr>
          <w:p>
            <w:pPr>
              <w:spacing w:after="40"/>
            </w:pPr>
            <w:r>
              <w:rPr>
                <w:sz w:val="18"/>
              </w:rPr>
              <w:t>ARPU</w:t>
            </w:r>
          </w:p>
        </w:tc>
        <w:tc>
          <w:tcPr>
            <w:tcW w:type="dxa" w:w="4536"/>
            <w:tcMar>
              <w:top w:w="80" w:type="dxa"/>
              <w:start w:w="120" w:type="dxa"/>
              <w:bottom w:w="80" w:type="dxa"/>
              <w:end w:w="120" w:type="dxa"/>
            </w:tcMar>
            <w:vAlign w:val="center"/>
          </w:tcPr>
          <w:p>
            <w:pPr>
              <w:spacing w:after="40"/>
            </w:pPr>
            <w:r>
              <w:rPr>
                <w:sz w:val="18"/>
              </w:rPr>
              <w:t>Ingreso recurrente / clientes pagos.</w:t>
            </w:r>
          </w:p>
        </w:tc>
        <w:tc>
          <w:tcPr>
            <w:tcW w:type="dxa" w:w="2664"/>
            <w:tcMar>
              <w:top w:w="80" w:type="dxa"/>
              <w:start w:w="120" w:type="dxa"/>
              <w:bottom w:w="80" w:type="dxa"/>
              <w:end w:w="120" w:type="dxa"/>
            </w:tcMar>
            <w:vAlign w:val="center"/>
          </w:tcPr>
          <w:p>
            <w:pPr>
              <w:spacing w:after="40"/>
            </w:pPr>
            <w:r>
              <w:rPr>
                <w:sz w:val="18"/>
              </w:rPr>
              <w:t>Baja sin reducción de costo.</w:t>
            </w:r>
          </w:p>
        </w:tc>
      </w:tr>
      <w:tr>
        <w:trPr>
          <w:cantSplit/>
        </w:trPr>
        <w:tc>
          <w:tcPr>
            <w:tcW w:type="dxa" w:w="2160"/>
            <w:tcMar>
              <w:top w:w="80" w:type="dxa"/>
              <w:start w:w="120" w:type="dxa"/>
              <w:bottom w:w="80" w:type="dxa"/>
              <w:end w:w="120" w:type="dxa"/>
            </w:tcMar>
            <w:vAlign w:val="center"/>
          </w:tcPr>
          <w:p>
            <w:pPr>
              <w:spacing w:after="40"/>
            </w:pPr>
            <w:r>
              <w:rPr>
                <w:sz w:val="18"/>
              </w:rPr>
              <w:t>Costo por canción</w:t>
            </w:r>
          </w:p>
        </w:tc>
        <w:tc>
          <w:tcPr>
            <w:tcW w:type="dxa" w:w="4536"/>
            <w:tcMar>
              <w:top w:w="80" w:type="dxa"/>
              <w:start w:w="120" w:type="dxa"/>
              <w:bottom w:w="80" w:type="dxa"/>
              <w:end w:w="120" w:type="dxa"/>
            </w:tcMar>
            <w:vAlign w:val="center"/>
          </w:tcPr>
          <w:p>
            <w:pPr>
              <w:spacing w:after="40"/>
            </w:pPr>
            <w:r>
              <w:rPr>
                <w:sz w:val="18"/>
              </w:rPr>
              <w:t>Costo completo / canciones publicadas.</w:t>
            </w:r>
          </w:p>
        </w:tc>
        <w:tc>
          <w:tcPr>
            <w:tcW w:type="dxa" w:w="2664"/>
            <w:tcMar>
              <w:top w:w="80" w:type="dxa"/>
              <w:start w:w="120" w:type="dxa"/>
              <w:bottom w:w="80" w:type="dxa"/>
              <w:end w:w="120" w:type="dxa"/>
            </w:tcMar>
            <w:vAlign w:val="center"/>
          </w:tcPr>
          <w:p>
            <w:pPr>
              <w:spacing w:after="40"/>
            </w:pPr>
            <w:r>
              <w:rPr>
                <w:sz w:val="18"/>
              </w:rPr>
              <w:t>Supera valor o demanda esperada.</w:t>
            </w:r>
          </w:p>
        </w:tc>
      </w:tr>
      <w:tr>
        <w:trPr>
          <w:cantSplit/>
        </w:trPr>
        <w:tc>
          <w:tcPr>
            <w:tcW w:type="dxa" w:w="2160"/>
            <w:tcMar>
              <w:top w:w="80" w:type="dxa"/>
              <w:start w:w="120" w:type="dxa"/>
              <w:bottom w:w="80" w:type="dxa"/>
              <w:end w:w="120" w:type="dxa"/>
            </w:tcMar>
            <w:vAlign w:val="center"/>
          </w:tcPr>
          <w:p>
            <w:pPr>
              <w:spacing w:after="40"/>
            </w:pPr>
            <w:r>
              <w:rPr>
                <w:sz w:val="18"/>
              </w:rPr>
              <w:t>Tasa de disputa</w:t>
            </w:r>
          </w:p>
        </w:tc>
        <w:tc>
          <w:tcPr>
            <w:tcW w:type="dxa" w:w="4536"/>
            <w:tcMar>
              <w:top w:w="80" w:type="dxa"/>
              <w:start w:w="120" w:type="dxa"/>
              <w:bottom w:w="80" w:type="dxa"/>
              <w:end w:w="120" w:type="dxa"/>
            </w:tcMar>
            <w:vAlign w:val="center"/>
          </w:tcPr>
          <w:p>
            <w:pPr>
              <w:spacing w:after="40"/>
            </w:pPr>
            <w:r>
              <w:rPr>
                <w:sz w:val="18"/>
              </w:rPr>
              <w:t>Contracargos / transacciones.</w:t>
            </w:r>
          </w:p>
        </w:tc>
        <w:tc>
          <w:tcPr>
            <w:tcW w:type="dxa" w:w="2664"/>
            <w:tcMar>
              <w:top w:w="80" w:type="dxa"/>
              <w:start w:w="120" w:type="dxa"/>
              <w:bottom w:w="80" w:type="dxa"/>
              <w:end w:w="120" w:type="dxa"/>
            </w:tcMar>
            <w:vAlign w:val="center"/>
          </w:tcPr>
          <w:p>
            <w:pPr>
              <w:spacing w:after="40"/>
            </w:pPr>
            <w:r>
              <w:rPr>
                <w:sz w:val="18"/>
              </w:rPr>
              <w:t>Cerca del límite del proveedor.</w:t>
            </w:r>
          </w:p>
        </w:tc>
      </w:tr>
      <w:tr>
        <w:trPr>
          <w:cantSplit/>
        </w:trPr>
        <w:tc>
          <w:tcPr>
            <w:tcW w:type="dxa" w:w="2160"/>
            <w:tcMar>
              <w:top w:w="80" w:type="dxa"/>
              <w:start w:w="120" w:type="dxa"/>
              <w:bottom w:w="80" w:type="dxa"/>
              <w:end w:w="120" w:type="dxa"/>
            </w:tcMar>
            <w:vAlign w:val="center"/>
          </w:tcPr>
          <w:p>
            <w:pPr>
              <w:spacing w:after="40"/>
            </w:pPr>
            <w:r>
              <w:rPr>
                <w:sz w:val="18"/>
              </w:rPr>
              <w:t>Concentración</w:t>
            </w:r>
          </w:p>
        </w:tc>
        <w:tc>
          <w:tcPr>
            <w:tcW w:type="dxa" w:w="4536"/>
            <w:tcMar>
              <w:top w:w="80" w:type="dxa"/>
              <w:start w:w="120" w:type="dxa"/>
              <w:bottom w:w="80" w:type="dxa"/>
              <w:end w:w="120" w:type="dxa"/>
            </w:tcMar>
            <w:vAlign w:val="center"/>
          </w:tcPr>
          <w:p>
            <w:pPr>
              <w:spacing w:after="40"/>
            </w:pPr>
            <w:r>
              <w:rPr>
                <w:sz w:val="18"/>
              </w:rPr>
              <w:t>% de ingresos de un canal/titular.</w:t>
            </w:r>
          </w:p>
        </w:tc>
        <w:tc>
          <w:tcPr>
            <w:tcW w:type="dxa" w:w="2664"/>
            <w:tcMar>
              <w:top w:w="80" w:type="dxa"/>
              <w:start w:w="120" w:type="dxa"/>
              <w:bottom w:w="80" w:type="dxa"/>
              <w:end w:w="120" w:type="dxa"/>
            </w:tcMar>
            <w:vAlign w:val="center"/>
          </w:tcPr>
          <w:p>
            <w:pPr>
              <w:spacing w:after="40"/>
            </w:pPr>
            <w:r>
              <w:rPr>
                <w:sz w:val="18"/>
              </w:rPr>
              <w:t>Dependencia excesiva sin alternativa.</w:t>
            </w:r>
          </w:p>
        </w:tc>
      </w:tr>
    </w:tbl>
    <w:p>
      <w:pPr>
        <w:spacing w:after="20"/>
      </w:pPr>
    </w:p>
    <w:p>
      <w:pPr>
        <w:pStyle w:val="Heading1"/>
      </w:pPr>
      <w:r>
        <w:t>12. Decisiones de contratación</w:t>
      </w:r>
    </w:p>
    <w:tbl>
      <w:tblPr>
        <w:tblStyle w:val="TableGrid"/>
        <w:tblW w:type="dxa" w:w="9360"/>
        <w:jc w:val="center"/>
        <w:tblLayout w:type="fixed"/>
        <w:tblLook w:firstColumn="1" w:firstRow="1" w:lastColumn="0" w:lastRow="0" w:noHBand="0" w:noVBand="1" w:val="04A0"/>
        <w:tblInd w:w="120" w:type="dxa"/>
      </w:tblPr>
      <w:tblGrid>
        <w:gridCol w:w="2232"/>
        <w:gridCol w:w="7128"/>
      </w:tblGrid>
      <w:tr>
        <w:trPr>
          <w:tblHeader/>
          <w:cantSplit/>
        </w:trPr>
        <w:tc>
          <w:tcPr>
            <w:tcW w:type="dxa" w:w="2232"/>
            <w:shd w:fill="E8EEF5"/>
            <w:tcMar>
              <w:top w:w="80" w:type="dxa"/>
              <w:start w:w="120" w:type="dxa"/>
              <w:bottom w:w="80" w:type="dxa"/>
              <w:end w:w="120" w:type="dxa"/>
            </w:tcMar>
            <w:vAlign w:val="center"/>
          </w:tcPr>
          <w:p>
            <w:r>
              <w:rPr>
                <w:b/>
              </w:rPr>
              <w:t>Proveedor</w:t>
            </w:r>
          </w:p>
        </w:tc>
        <w:tc>
          <w:tcPr>
            <w:tcW w:type="dxa" w:w="7128"/>
            <w:shd w:fill="E8EEF5"/>
            <w:tcMar>
              <w:top w:w="80" w:type="dxa"/>
              <w:start w:w="120" w:type="dxa"/>
              <w:bottom w:w="80" w:type="dxa"/>
              <w:end w:w="120" w:type="dxa"/>
            </w:tcMar>
            <w:vAlign w:val="center"/>
          </w:tcPr>
          <w:p>
            <w:r>
              <w:rPr>
                <w:b/>
              </w:rPr>
              <w:t>Criterios obligatorios</w:t>
            </w:r>
          </w:p>
        </w:tc>
      </w:tr>
      <w:tr>
        <w:trPr>
          <w:cantSplit/>
        </w:trPr>
        <w:tc>
          <w:tcPr>
            <w:tcW w:type="dxa" w:w="2232"/>
            <w:tcMar>
              <w:top w:w="80" w:type="dxa"/>
              <w:start w:w="120" w:type="dxa"/>
              <w:bottom w:w="80" w:type="dxa"/>
              <w:end w:w="120" w:type="dxa"/>
            </w:tcMar>
            <w:vAlign w:val="center"/>
          </w:tcPr>
          <w:p>
            <w:pPr>
              <w:spacing w:after="40"/>
            </w:pPr>
            <w:r>
              <w:rPr>
                <w:sz w:val="20"/>
              </w:rPr>
              <w:t>Alojamiento/base de datos</w:t>
            </w:r>
          </w:p>
        </w:tc>
        <w:tc>
          <w:tcPr>
            <w:tcW w:type="dxa" w:w="7128"/>
            <w:tcMar>
              <w:top w:w="80" w:type="dxa"/>
              <w:start w:w="120" w:type="dxa"/>
              <w:bottom w:w="80" w:type="dxa"/>
              <w:end w:w="120" w:type="dxa"/>
            </w:tcMar>
            <w:vAlign w:val="center"/>
          </w:tcPr>
          <w:p>
            <w:pPr>
              <w:spacing w:after="40"/>
            </w:pPr>
            <w:r>
              <w:rPr>
                <w:sz w:val="20"/>
              </w:rPr>
              <w:t>Región, privacidad, DPA, cifrado, backups, RPO/RTO, exportación, soporte y costo 3x.</w:t>
            </w:r>
          </w:p>
        </w:tc>
      </w:tr>
      <w:tr>
        <w:trPr>
          <w:cantSplit/>
        </w:trPr>
        <w:tc>
          <w:tcPr>
            <w:tcW w:type="dxa" w:w="2232"/>
            <w:tcMar>
              <w:top w:w="80" w:type="dxa"/>
              <w:start w:w="120" w:type="dxa"/>
              <w:bottom w:w="80" w:type="dxa"/>
              <w:end w:w="120" w:type="dxa"/>
            </w:tcMar>
            <w:vAlign w:val="center"/>
          </w:tcPr>
          <w:p>
            <w:pPr>
              <w:spacing w:after="40"/>
            </w:pPr>
            <w:r>
              <w:rPr>
                <w:sz w:val="20"/>
              </w:rPr>
              <w:t>Pasarela</w:t>
            </w:r>
          </w:p>
        </w:tc>
        <w:tc>
          <w:tcPr>
            <w:tcW w:type="dxa" w:w="7128"/>
            <w:tcMar>
              <w:top w:w="80" w:type="dxa"/>
              <w:start w:w="120" w:type="dxa"/>
              <w:bottom w:w="80" w:type="dxa"/>
              <w:end w:w="120" w:type="dxa"/>
            </w:tcMar>
            <w:vAlign w:val="center"/>
          </w:tcPr>
          <w:p>
            <w:pPr>
              <w:spacing w:after="40"/>
            </w:pPr>
            <w:r>
              <w:rPr>
                <w:sz w:val="20"/>
              </w:rPr>
              <w:t>Disponibilidad para Costa Rica, recurrencia, monedas, 3DS, PCI, liquidación, reembolsos, disputas, webhooks y tarifa escrita.</w:t>
            </w:r>
          </w:p>
        </w:tc>
      </w:tr>
      <w:tr>
        <w:trPr>
          <w:cantSplit/>
        </w:trPr>
        <w:tc>
          <w:tcPr>
            <w:tcW w:type="dxa" w:w="2232"/>
            <w:tcMar>
              <w:top w:w="80" w:type="dxa"/>
              <w:start w:w="120" w:type="dxa"/>
              <w:bottom w:w="80" w:type="dxa"/>
              <w:end w:w="120" w:type="dxa"/>
            </w:tcMar>
            <w:vAlign w:val="center"/>
          </w:tcPr>
          <w:p>
            <w:pPr>
              <w:spacing w:after="40"/>
            </w:pPr>
            <w:r>
              <w:rPr>
                <w:sz w:val="20"/>
              </w:rPr>
              <w:t>Facturación</w:t>
            </w:r>
          </w:p>
        </w:tc>
        <w:tc>
          <w:tcPr>
            <w:tcW w:type="dxa" w:w="7128"/>
            <w:tcMar>
              <w:top w:w="80" w:type="dxa"/>
              <w:start w:w="120" w:type="dxa"/>
              <w:bottom w:w="80" w:type="dxa"/>
              <w:end w:w="120" w:type="dxa"/>
            </w:tcMar>
            <w:vAlign w:val="center"/>
          </w:tcPr>
          <w:p>
            <w:pPr>
              <w:spacing w:after="40"/>
            </w:pPr>
            <w:r>
              <w:rPr>
                <w:sz w:val="20"/>
              </w:rPr>
              <w:t>Compatibilidad con comprobante 4.4/TRIBU-CR, contingencia, exportación y soporte.</w:t>
            </w:r>
          </w:p>
        </w:tc>
      </w:tr>
      <w:tr>
        <w:trPr>
          <w:cantSplit/>
        </w:trPr>
        <w:tc>
          <w:tcPr>
            <w:tcW w:type="dxa" w:w="2232"/>
            <w:tcMar>
              <w:top w:w="80" w:type="dxa"/>
              <w:start w:w="120" w:type="dxa"/>
              <w:bottom w:w="80" w:type="dxa"/>
              <w:end w:w="120" w:type="dxa"/>
            </w:tcMar>
            <w:vAlign w:val="center"/>
          </w:tcPr>
          <w:p>
            <w:pPr>
              <w:spacing w:after="40"/>
            </w:pPr>
            <w:r>
              <w:rPr>
                <w:sz w:val="20"/>
              </w:rPr>
              <w:t>Correo</w:t>
            </w:r>
          </w:p>
        </w:tc>
        <w:tc>
          <w:tcPr>
            <w:tcW w:type="dxa" w:w="7128"/>
            <w:tcMar>
              <w:top w:w="80" w:type="dxa"/>
              <w:start w:w="120" w:type="dxa"/>
              <w:bottom w:w="80" w:type="dxa"/>
              <w:end w:w="120" w:type="dxa"/>
            </w:tcMar>
            <w:vAlign w:val="center"/>
          </w:tcPr>
          <w:p>
            <w:pPr>
              <w:spacing w:after="40"/>
            </w:pPr>
            <w:r>
              <w:rPr>
                <w:sz w:val="20"/>
              </w:rPr>
              <w:t>DPA, autenticación de dominio, rebotes, plantillas, logs y retención.</w:t>
            </w:r>
          </w:p>
        </w:tc>
      </w:tr>
      <w:tr>
        <w:trPr>
          <w:cantSplit/>
        </w:trPr>
        <w:tc>
          <w:tcPr>
            <w:tcW w:type="dxa" w:w="2232"/>
            <w:tcMar>
              <w:top w:w="80" w:type="dxa"/>
              <w:start w:w="120" w:type="dxa"/>
              <w:bottom w:w="80" w:type="dxa"/>
              <w:end w:w="120" w:type="dxa"/>
            </w:tcMar>
            <w:vAlign w:val="center"/>
          </w:tcPr>
          <w:p>
            <w:pPr>
              <w:spacing w:after="40"/>
            </w:pPr>
            <w:r>
              <w:rPr>
                <w:sz w:val="20"/>
              </w:rPr>
              <w:t>Analítica</w:t>
            </w:r>
          </w:p>
        </w:tc>
        <w:tc>
          <w:tcPr>
            <w:tcW w:type="dxa" w:w="7128"/>
            <w:tcMar>
              <w:top w:w="80" w:type="dxa"/>
              <w:start w:w="120" w:type="dxa"/>
              <w:bottom w:w="80" w:type="dxa"/>
              <w:end w:w="120" w:type="dxa"/>
            </w:tcMar>
            <w:vAlign w:val="center"/>
          </w:tcPr>
          <w:p>
            <w:pPr>
              <w:spacing w:after="40"/>
            </w:pPr>
            <w:r>
              <w:rPr>
                <w:sz w:val="20"/>
              </w:rPr>
              <w:t>Minimización, consentimiento, ubicación, muestreo y borrado.</w:t>
            </w:r>
          </w:p>
        </w:tc>
      </w:tr>
      <w:tr>
        <w:trPr>
          <w:cantSplit/>
        </w:trPr>
        <w:tc>
          <w:tcPr>
            <w:tcW w:type="dxa" w:w="2232"/>
            <w:tcMar>
              <w:top w:w="80" w:type="dxa"/>
              <w:start w:w="120" w:type="dxa"/>
              <w:bottom w:w="80" w:type="dxa"/>
              <w:end w:w="120" w:type="dxa"/>
            </w:tcMar>
            <w:vAlign w:val="center"/>
          </w:tcPr>
          <w:p>
            <w:pPr>
              <w:spacing w:after="40"/>
            </w:pPr>
            <w:r>
              <w:rPr>
                <w:sz w:val="20"/>
              </w:rPr>
              <w:t>Licenciante</w:t>
            </w:r>
          </w:p>
        </w:tc>
        <w:tc>
          <w:tcPr>
            <w:tcW w:type="dxa" w:w="7128"/>
            <w:tcMar>
              <w:top w:w="80" w:type="dxa"/>
              <w:start w:w="120" w:type="dxa"/>
              <w:bottom w:w="80" w:type="dxa"/>
              <w:end w:w="120" w:type="dxa"/>
            </w:tcMar>
            <w:vAlign w:val="center"/>
          </w:tcPr>
          <w:p>
            <w:pPr>
              <w:spacing w:after="40"/>
            </w:pPr>
            <w:r>
              <w:rPr>
                <w:sz w:val="20"/>
              </w:rPr>
              <w:t>Cadena de titularidad, repertorio, alcance, mínimos, reportes, auditoría y retiro.</w:t>
            </w:r>
          </w:p>
        </w:tc>
      </w:tr>
    </w:tbl>
    <w:p>
      <w:pPr>
        <w:spacing w:after="20"/>
      </w:pPr>
    </w:p>
    <w:p>
      <w:pPr>
        <w:pStyle w:val="Heading1"/>
      </w:pPr>
      <w:r>
        <w:t>13. Riesgos financieros</w:t>
      </w:r>
    </w:p>
    <w:tbl>
      <w:tblPr>
        <w:tblStyle w:val="TableGrid"/>
        <w:tblW w:type="dxa" w:w="9360"/>
        <w:jc w:val="center"/>
        <w:tblLayout w:type="fixed"/>
        <w:tblLook w:firstColumn="1" w:firstRow="1" w:lastColumn="0" w:lastRow="0" w:noHBand="0" w:noVBand="1" w:val="04A0"/>
        <w:tblInd w:w="120" w:type="dxa"/>
      </w:tblPr>
      <w:tblGrid>
        <w:gridCol w:w="2232"/>
        <w:gridCol w:w="2951"/>
        <w:gridCol w:w="4176"/>
      </w:tblGrid>
      <w:tr>
        <w:trPr>
          <w:tblHeader/>
          <w:cantSplit/>
        </w:trPr>
        <w:tc>
          <w:tcPr>
            <w:tcW w:type="dxa" w:w="2232"/>
            <w:shd w:fill="E8EEF5"/>
            <w:tcMar>
              <w:top w:w="80" w:type="dxa"/>
              <w:start w:w="120" w:type="dxa"/>
              <w:bottom w:w="80" w:type="dxa"/>
              <w:end w:w="120" w:type="dxa"/>
            </w:tcMar>
            <w:vAlign w:val="center"/>
          </w:tcPr>
          <w:p>
            <w:r>
              <w:rPr>
                <w:b/>
              </w:rPr>
              <w:t>Riesgo</w:t>
            </w:r>
          </w:p>
        </w:tc>
        <w:tc>
          <w:tcPr>
            <w:tcW w:type="dxa" w:w="2951"/>
            <w:shd w:fill="E8EEF5"/>
            <w:tcMar>
              <w:top w:w="80" w:type="dxa"/>
              <w:start w:w="120" w:type="dxa"/>
              <w:bottom w:w="80" w:type="dxa"/>
              <w:end w:w="120" w:type="dxa"/>
            </w:tcMar>
            <w:vAlign w:val="center"/>
          </w:tcPr>
          <w:p>
            <w:r>
              <w:rPr>
                <w:b/>
              </w:rPr>
              <w:t>Impacto</w:t>
            </w:r>
          </w:p>
        </w:tc>
        <w:tc>
          <w:tcPr>
            <w:tcW w:type="dxa" w:w="4176"/>
            <w:shd w:fill="E8EEF5"/>
            <w:tcMar>
              <w:top w:w="80" w:type="dxa"/>
              <w:start w:w="120" w:type="dxa"/>
              <w:bottom w:w="80" w:type="dxa"/>
              <w:end w:w="120" w:type="dxa"/>
            </w:tcMar>
            <w:vAlign w:val="center"/>
          </w:tcPr>
          <w:p>
            <w:r>
              <w:rPr>
                <w:b/>
              </w:rPr>
              <w:t>Mitigación presupuestaria</w:t>
            </w:r>
          </w:p>
        </w:tc>
      </w:tr>
      <w:tr>
        <w:trPr>
          <w:cantSplit/>
        </w:trPr>
        <w:tc>
          <w:tcPr>
            <w:tcW w:type="dxa" w:w="2232"/>
            <w:tcMar>
              <w:top w:w="80" w:type="dxa"/>
              <w:start w:w="120" w:type="dxa"/>
              <w:bottom w:w="80" w:type="dxa"/>
              <w:end w:w="120" w:type="dxa"/>
            </w:tcMar>
            <w:vAlign w:val="center"/>
          </w:tcPr>
          <w:p>
            <w:pPr>
              <w:spacing w:after="40"/>
            </w:pPr>
            <w:r>
              <w:rPr>
                <w:sz w:val="18"/>
              </w:rPr>
              <w:t>Licencia denegada/cara</w:t>
            </w:r>
          </w:p>
        </w:tc>
        <w:tc>
          <w:tcPr>
            <w:tcW w:type="dxa" w:w="2951"/>
            <w:tcMar>
              <w:top w:w="80" w:type="dxa"/>
              <w:start w:w="120" w:type="dxa"/>
              <w:bottom w:w="80" w:type="dxa"/>
              <w:end w:w="120" w:type="dxa"/>
            </w:tcMar>
            <w:vAlign w:val="center"/>
          </w:tcPr>
          <w:p>
            <w:pPr>
              <w:spacing w:after="40"/>
            </w:pPr>
            <w:r>
              <w:rPr>
                <w:sz w:val="18"/>
              </w:rPr>
              <w:t>No se puede publicar repertorio clave.</w:t>
            </w:r>
          </w:p>
        </w:tc>
        <w:tc>
          <w:tcPr>
            <w:tcW w:type="dxa" w:w="4176"/>
            <w:tcMar>
              <w:top w:w="80" w:type="dxa"/>
              <w:start w:w="120" w:type="dxa"/>
              <w:bottom w:w="80" w:type="dxa"/>
              <w:end w:w="120" w:type="dxa"/>
            </w:tcMar>
            <w:vAlign w:val="center"/>
          </w:tcPr>
          <w:p>
            <w:pPr>
              <w:spacing w:after="40"/>
            </w:pPr>
            <w:r>
              <w:rPr>
                <w:sz w:val="18"/>
              </w:rPr>
              <w:t>Piloto con contenido autorizado; cotizar antes de desarrollar campañas.</w:t>
            </w:r>
          </w:p>
        </w:tc>
      </w:tr>
      <w:tr>
        <w:trPr>
          <w:cantSplit/>
        </w:trPr>
        <w:tc>
          <w:tcPr>
            <w:tcW w:type="dxa" w:w="2232"/>
            <w:tcMar>
              <w:top w:w="80" w:type="dxa"/>
              <w:start w:w="120" w:type="dxa"/>
              <w:bottom w:w="80" w:type="dxa"/>
              <w:end w:w="120" w:type="dxa"/>
            </w:tcMar>
            <w:vAlign w:val="center"/>
          </w:tcPr>
          <w:p>
            <w:pPr>
              <w:spacing w:after="40"/>
            </w:pPr>
            <w:r>
              <w:rPr>
                <w:sz w:val="18"/>
              </w:rPr>
              <w:t>Cambio fiscal/municipal</w:t>
            </w:r>
          </w:p>
        </w:tc>
        <w:tc>
          <w:tcPr>
            <w:tcW w:type="dxa" w:w="2951"/>
            <w:tcMar>
              <w:top w:w="80" w:type="dxa"/>
              <w:start w:w="120" w:type="dxa"/>
              <w:bottom w:w="80" w:type="dxa"/>
              <w:end w:w="120" w:type="dxa"/>
            </w:tcMar>
            <w:vAlign w:val="center"/>
          </w:tcPr>
          <w:p>
            <w:pPr>
              <w:spacing w:after="40"/>
            </w:pPr>
            <w:r>
              <w:rPr>
                <w:sz w:val="18"/>
              </w:rPr>
              <w:t>Deuda, multas o rediseño.</w:t>
            </w:r>
          </w:p>
        </w:tc>
        <w:tc>
          <w:tcPr>
            <w:tcW w:type="dxa" w:w="4176"/>
            <w:tcMar>
              <w:top w:w="80" w:type="dxa"/>
              <w:start w:w="120" w:type="dxa"/>
              <w:bottom w:w="80" w:type="dxa"/>
              <w:end w:w="120" w:type="dxa"/>
            </w:tcMar>
            <w:vAlign w:val="center"/>
          </w:tcPr>
          <w:p>
            <w:pPr>
              <w:spacing w:after="40"/>
            </w:pPr>
            <w:r>
              <w:rPr>
                <w:sz w:val="18"/>
              </w:rPr>
              <w:t>Revisión trimestral y fondo de cumplimiento.</w:t>
            </w:r>
          </w:p>
        </w:tc>
      </w:tr>
      <w:tr>
        <w:trPr>
          <w:cantSplit/>
        </w:trPr>
        <w:tc>
          <w:tcPr>
            <w:tcW w:type="dxa" w:w="2232"/>
            <w:tcMar>
              <w:top w:w="80" w:type="dxa"/>
              <w:start w:w="120" w:type="dxa"/>
              <w:bottom w:w="80" w:type="dxa"/>
              <w:end w:w="120" w:type="dxa"/>
            </w:tcMar>
            <w:vAlign w:val="center"/>
          </w:tcPr>
          <w:p>
            <w:pPr>
              <w:spacing w:after="40"/>
            </w:pPr>
            <w:r>
              <w:rPr>
                <w:sz w:val="18"/>
              </w:rPr>
              <w:t>Contracargos/fraude</w:t>
            </w:r>
          </w:p>
        </w:tc>
        <w:tc>
          <w:tcPr>
            <w:tcW w:type="dxa" w:w="2951"/>
            <w:tcMar>
              <w:top w:w="80" w:type="dxa"/>
              <w:start w:w="120" w:type="dxa"/>
              <w:bottom w:w="80" w:type="dxa"/>
              <w:end w:w="120" w:type="dxa"/>
            </w:tcMar>
            <w:vAlign w:val="center"/>
          </w:tcPr>
          <w:p>
            <w:pPr>
              <w:spacing w:after="40"/>
            </w:pPr>
            <w:r>
              <w:rPr>
                <w:sz w:val="18"/>
              </w:rPr>
              <w:t>Pérdida de ingreso y cuenta de pasarela.</w:t>
            </w:r>
          </w:p>
        </w:tc>
        <w:tc>
          <w:tcPr>
            <w:tcW w:type="dxa" w:w="4176"/>
            <w:tcMar>
              <w:top w:w="80" w:type="dxa"/>
              <w:start w:w="120" w:type="dxa"/>
              <w:bottom w:w="80" w:type="dxa"/>
              <w:end w:w="120" w:type="dxa"/>
            </w:tcMar>
            <w:vAlign w:val="center"/>
          </w:tcPr>
          <w:p>
            <w:pPr>
              <w:spacing w:after="40"/>
            </w:pPr>
            <w:r>
              <w:rPr>
                <w:sz w:val="18"/>
              </w:rPr>
              <w:t>3DS, límites, evidencia y reserva.</w:t>
            </w:r>
          </w:p>
        </w:tc>
      </w:tr>
      <w:tr>
        <w:trPr>
          <w:cantSplit/>
        </w:trPr>
        <w:tc>
          <w:tcPr>
            <w:tcW w:type="dxa" w:w="2232"/>
            <w:tcMar>
              <w:top w:w="80" w:type="dxa"/>
              <w:start w:w="120" w:type="dxa"/>
              <w:bottom w:w="80" w:type="dxa"/>
              <w:end w:w="120" w:type="dxa"/>
            </w:tcMar>
            <w:vAlign w:val="center"/>
          </w:tcPr>
          <w:p>
            <w:pPr>
              <w:spacing w:after="40"/>
            </w:pPr>
            <w:r>
              <w:rPr>
                <w:sz w:val="18"/>
              </w:rPr>
              <w:t>Proveedor cambia precio</w:t>
            </w:r>
          </w:p>
        </w:tc>
        <w:tc>
          <w:tcPr>
            <w:tcW w:type="dxa" w:w="2951"/>
            <w:tcMar>
              <w:top w:w="80" w:type="dxa"/>
              <w:start w:w="120" w:type="dxa"/>
              <w:bottom w:w="80" w:type="dxa"/>
              <w:end w:w="120" w:type="dxa"/>
            </w:tcMar>
            <w:vAlign w:val="center"/>
          </w:tcPr>
          <w:p>
            <w:pPr>
              <w:spacing w:after="40"/>
            </w:pPr>
            <w:r>
              <w:rPr>
                <w:sz w:val="18"/>
              </w:rPr>
              <w:t>Aumento de costo o migración.</w:t>
            </w:r>
          </w:p>
        </w:tc>
        <w:tc>
          <w:tcPr>
            <w:tcW w:type="dxa" w:w="4176"/>
            <w:tcMar>
              <w:top w:w="80" w:type="dxa"/>
              <w:start w:w="120" w:type="dxa"/>
              <w:bottom w:w="80" w:type="dxa"/>
              <w:end w:w="120" w:type="dxa"/>
            </w:tcMar>
            <w:vAlign w:val="center"/>
          </w:tcPr>
          <w:p>
            <w:pPr>
              <w:spacing w:after="40"/>
            </w:pPr>
            <w:r>
              <w:rPr>
                <w:sz w:val="18"/>
              </w:rPr>
              <w:t>Presupuesto 3x, exportaciones y cláusula de salida.</w:t>
            </w:r>
          </w:p>
        </w:tc>
      </w:tr>
      <w:tr>
        <w:trPr>
          <w:cantSplit/>
        </w:trPr>
        <w:tc>
          <w:tcPr>
            <w:tcW w:type="dxa" w:w="2232"/>
            <w:tcMar>
              <w:top w:w="80" w:type="dxa"/>
              <w:start w:w="120" w:type="dxa"/>
              <w:bottom w:w="80" w:type="dxa"/>
              <w:end w:w="120" w:type="dxa"/>
            </w:tcMar>
            <w:vAlign w:val="center"/>
          </w:tcPr>
          <w:p>
            <w:pPr>
              <w:spacing w:after="40"/>
            </w:pPr>
            <w:r>
              <w:rPr>
                <w:sz w:val="18"/>
              </w:rPr>
              <w:t>Incidente de datos</w:t>
            </w:r>
          </w:p>
        </w:tc>
        <w:tc>
          <w:tcPr>
            <w:tcW w:type="dxa" w:w="2951"/>
            <w:tcMar>
              <w:top w:w="80" w:type="dxa"/>
              <w:start w:w="120" w:type="dxa"/>
              <w:bottom w:w="80" w:type="dxa"/>
              <w:end w:w="120" w:type="dxa"/>
            </w:tcMar>
            <w:vAlign w:val="center"/>
          </w:tcPr>
          <w:p>
            <w:pPr>
              <w:spacing w:after="40"/>
            </w:pPr>
            <w:r>
              <w:rPr>
                <w:sz w:val="18"/>
              </w:rPr>
              <w:t>Respuesta, pérdida de confianza y sanciones.</w:t>
            </w:r>
          </w:p>
        </w:tc>
        <w:tc>
          <w:tcPr>
            <w:tcW w:type="dxa" w:w="4176"/>
            <w:tcMar>
              <w:top w:w="80" w:type="dxa"/>
              <w:start w:w="120" w:type="dxa"/>
              <w:bottom w:w="80" w:type="dxa"/>
              <w:end w:w="120" w:type="dxa"/>
            </w:tcMar>
            <w:vAlign w:val="center"/>
          </w:tcPr>
          <w:p>
            <w:pPr>
              <w:spacing w:after="40"/>
            </w:pPr>
            <w:r>
              <w:rPr>
                <w:sz w:val="18"/>
              </w:rPr>
              <w:t>Seguro a evaluar, fondo y ejercicios.</w:t>
            </w:r>
          </w:p>
        </w:tc>
      </w:tr>
      <w:tr>
        <w:trPr>
          <w:cantSplit/>
        </w:trPr>
        <w:tc>
          <w:tcPr>
            <w:tcW w:type="dxa" w:w="2232"/>
            <w:tcMar>
              <w:top w:w="80" w:type="dxa"/>
              <w:start w:w="120" w:type="dxa"/>
              <w:bottom w:w="80" w:type="dxa"/>
              <w:end w:w="120" w:type="dxa"/>
            </w:tcMar>
            <w:vAlign w:val="center"/>
          </w:tcPr>
          <w:p>
            <w:pPr>
              <w:spacing w:after="40"/>
            </w:pPr>
            <w:r>
              <w:rPr>
                <w:sz w:val="18"/>
              </w:rPr>
              <w:t>YouTube retira video</w:t>
            </w:r>
          </w:p>
        </w:tc>
        <w:tc>
          <w:tcPr>
            <w:tcW w:type="dxa" w:w="2951"/>
            <w:tcMar>
              <w:top w:w="80" w:type="dxa"/>
              <w:start w:w="120" w:type="dxa"/>
              <w:bottom w:w="80" w:type="dxa"/>
              <w:end w:w="120" w:type="dxa"/>
            </w:tcMar>
            <w:vAlign w:val="center"/>
          </w:tcPr>
          <w:p>
            <w:pPr>
              <w:spacing w:after="40"/>
            </w:pPr>
            <w:r>
              <w:rPr>
                <w:sz w:val="18"/>
              </w:rPr>
              <w:t>Función degradada.</w:t>
            </w:r>
          </w:p>
        </w:tc>
        <w:tc>
          <w:tcPr>
            <w:tcW w:type="dxa" w:w="4176"/>
            <w:tcMar>
              <w:top w:w="80" w:type="dxa"/>
              <w:start w:w="120" w:type="dxa"/>
              <w:bottom w:w="80" w:type="dxa"/>
              <w:end w:w="120" w:type="dxa"/>
            </w:tcMar>
            <w:vAlign w:val="center"/>
          </w:tcPr>
          <w:p>
            <w:pPr>
              <w:spacing w:after="40"/>
            </w:pPr>
            <w:r>
              <w:rPr>
                <w:sz w:val="18"/>
              </w:rPr>
              <w:t>Contenido propio independiente y sustitución editorial.</w:t>
            </w:r>
          </w:p>
        </w:tc>
      </w:tr>
      <w:tr>
        <w:trPr>
          <w:cantSplit/>
        </w:trPr>
        <w:tc>
          <w:tcPr>
            <w:tcW w:type="dxa" w:w="2232"/>
            <w:tcMar>
              <w:top w:w="80" w:type="dxa"/>
              <w:start w:w="120" w:type="dxa"/>
              <w:bottom w:w="80" w:type="dxa"/>
              <w:end w:w="120" w:type="dxa"/>
            </w:tcMar>
            <w:vAlign w:val="center"/>
          </w:tcPr>
          <w:p>
            <w:pPr>
              <w:spacing w:after="40"/>
            </w:pPr>
            <w:r>
              <w:rPr>
                <w:sz w:val="18"/>
              </w:rPr>
              <w:t>Tipo de cambio</w:t>
            </w:r>
          </w:p>
        </w:tc>
        <w:tc>
          <w:tcPr>
            <w:tcW w:type="dxa" w:w="2951"/>
            <w:tcMar>
              <w:top w:w="80" w:type="dxa"/>
              <w:start w:w="120" w:type="dxa"/>
              <w:bottom w:w="80" w:type="dxa"/>
              <w:end w:w="120" w:type="dxa"/>
            </w:tcMar>
            <w:vAlign w:val="center"/>
          </w:tcPr>
          <w:p>
            <w:pPr>
              <w:spacing w:after="40"/>
            </w:pPr>
            <w:r>
              <w:rPr>
                <w:sz w:val="18"/>
              </w:rPr>
              <w:t>Margen variable USD/JPY/CRC.</w:t>
            </w:r>
          </w:p>
        </w:tc>
        <w:tc>
          <w:tcPr>
            <w:tcW w:type="dxa" w:w="4176"/>
            <w:tcMar>
              <w:top w:w="80" w:type="dxa"/>
              <w:start w:w="120" w:type="dxa"/>
              <w:bottom w:w="80" w:type="dxa"/>
              <w:end w:w="120" w:type="dxa"/>
            </w:tcMar>
            <w:vAlign w:val="center"/>
          </w:tcPr>
          <w:p>
            <w:pPr>
              <w:spacing w:after="40"/>
            </w:pPr>
            <w:r>
              <w:rPr>
                <w:sz w:val="18"/>
              </w:rPr>
              <w:t>Política de conversión y colchón.</w:t>
            </w:r>
          </w:p>
        </w:tc>
      </w:tr>
      <w:tr>
        <w:trPr>
          <w:cantSplit/>
        </w:trPr>
        <w:tc>
          <w:tcPr>
            <w:tcW w:type="dxa" w:w="2232"/>
            <w:tcMar>
              <w:top w:w="80" w:type="dxa"/>
              <w:start w:w="120" w:type="dxa"/>
              <w:bottom w:w="80" w:type="dxa"/>
              <w:end w:w="120" w:type="dxa"/>
            </w:tcMar>
            <w:vAlign w:val="center"/>
          </w:tcPr>
          <w:p>
            <w:pPr>
              <w:spacing w:after="40"/>
            </w:pPr>
            <w:r>
              <w:rPr>
                <w:sz w:val="18"/>
              </w:rPr>
              <w:t>Crecimiento editorial</w:t>
            </w:r>
          </w:p>
        </w:tc>
        <w:tc>
          <w:tcPr>
            <w:tcW w:type="dxa" w:w="2951"/>
            <w:tcMar>
              <w:top w:w="80" w:type="dxa"/>
              <w:start w:w="120" w:type="dxa"/>
              <w:bottom w:w="80" w:type="dxa"/>
              <w:end w:w="120" w:type="dxa"/>
            </w:tcMar>
            <w:vAlign w:val="center"/>
          </w:tcPr>
          <w:p>
            <w:pPr>
              <w:spacing w:after="40"/>
            </w:pPr>
            <w:r>
              <w:rPr>
                <w:sz w:val="18"/>
              </w:rPr>
              <w:t>Backlog y baja calidad.</w:t>
            </w:r>
          </w:p>
        </w:tc>
        <w:tc>
          <w:tcPr>
            <w:tcW w:type="dxa" w:w="4176"/>
            <w:tcMar>
              <w:top w:w="80" w:type="dxa"/>
              <w:start w:w="120" w:type="dxa"/>
              <w:bottom w:w="80" w:type="dxa"/>
              <w:end w:w="120" w:type="dxa"/>
            </w:tcMar>
            <w:vAlign w:val="center"/>
          </w:tcPr>
          <w:p>
            <w:pPr>
              <w:spacing w:after="40"/>
            </w:pPr>
            <w:r>
              <w:rPr>
                <w:sz w:val="18"/>
              </w:rPr>
              <w:t>Costo unitario y límites de repertorio.</w:t>
            </w:r>
          </w:p>
        </w:tc>
      </w:tr>
    </w:tbl>
    <w:p>
      <w:pPr>
        <w:spacing w:after="20"/>
      </w:pPr>
    </w:p>
    <w:p>
      <w:pPr>
        <w:pStyle w:val="Heading1"/>
      </w:pPr>
      <w:r>
        <w:t>14. Plan de aprobación económica</w:t>
      </w:r>
    </w:p>
    <w:p>
      <w:pPr>
        <w:pStyle w:val="ListBullet"/>
      </w:pPr>
      <w:r>
        <w:t>Elegir persona física o jurídica y obtener mapa tributario/municipal escrito.</w:t>
      </w:r>
    </w:p>
    <w:p>
      <w:pPr>
        <w:pStyle w:val="ListBullet"/>
      </w:pPr>
      <w:r>
        <w:t>Solicitar cotizaciones de derechos para un repertorio piloto definido.</w:t>
      </w:r>
    </w:p>
    <w:p>
      <w:pPr>
        <w:pStyle w:val="ListBullet"/>
      </w:pPr>
      <w:r>
        <w:t>Cotizar abogado, contador, seguridad, accesibilidad, pasarela y facturación.</w:t>
      </w:r>
    </w:p>
    <w:p>
      <w:pPr>
        <w:pStyle w:val="ListBullet"/>
      </w:pPr>
      <w:r>
        <w:t>Construir presupuesto base, conservador y estrés 3x con 20–30% de contingencia.</w:t>
      </w:r>
    </w:p>
    <w:p>
      <w:pPr>
        <w:pStyle w:val="ListBullet"/>
      </w:pPr>
      <w:r>
        <w:t>Fijar caja mínima y criterio de “no lanzar” si licencias o reservas no cierran.</w:t>
      </w:r>
    </w:p>
    <w:p>
      <w:pPr>
        <w:pStyle w:val="ListBullet"/>
      </w:pPr>
      <w:r>
        <w:t>Configurar M20 como libro auxiliar; probar conciliación con transacciones simuladas.</w:t>
      </w:r>
    </w:p>
    <w:p>
      <w:pPr>
        <w:pStyle w:val="ListBullet"/>
      </w:pPr>
      <w:r>
        <w:t>Aprobar lanzamiento solo con 12 meses de flujo mensual y responsables de cierre.</w:t>
      </w:r>
    </w:p>
    <w:p>
      <w:pPr>
        <w:pStyle w:val="Heading1"/>
      </w:pPr>
      <w:r>
        <w:t>Fuentes</w:t>
      </w:r>
    </w:p>
    <w:p>
      <w:pPr>
        <w:pStyle w:val="Source"/>
      </w:pPr>
      <w:r>
        <w:t>Fuentes consultadas el 11 de agosto de 2026. Se priorizaron textos normativos, instituciones públicas y documentación oficial de proveedores. Los precios y reglas pueden cambiar; deben reconfirmarse antes de contratar o lanzar.</w:t>
      </w:r>
    </w:p>
    <w:p>
      <w:pPr>
        <w:pStyle w:val="Source"/>
      </w:pPr>
      <w:r>
        <w:rPr>
          <w:b/>
        </w:rPr>
        <w:t xml:space="preserve">1. Registro Nacional: aranceles de personas jurídicas 2026. </w:t>
      </w:r>
      <w:hyperlink r:id="rId11">
        <w:r>
          <w:rPr>
            <w:color w:val="0563C1"/>
            <w:u w:val="single"/>
          </w:rPr>
          <w:t>https://registronacional.go.cr/tramites_servicios/tramitesregistros/personas%20juridicas/personas_juridicas_aranceles.htm</w:t>
        </w:r>
      </w:hyperlink>
      <w:r>
        <w:t xml:space="preserve"> — Constitución de sociedades mercantiles: arancel registral publicado de ₡46.220; no incluye otros rubros.</w:t>
      </w:r>
    </w:p>
    <w:p>
      <w:pPr>
        <w:pStyle w:val="Source"/>
      </w:pPr>
      <w:r>
        <w:rPr>
          <w:b/>
        </w:rPr>
        <w:t xml:space="preserve">2. Ley 9428, impuesto a personas jurídicas. </w:t>
      </w:r>
      <w:hyperlink r:id="rId12">
        <w:r>
          <w:rPr>
            <w:color w:val="0563C1"/>
            <w:u w:val="single"/>
          </w:rPr>
          <w:t>https://pgrweb.go.cr/SCIJ/Busqueda/Normativa/Normas/nrm_texto_completo.aspx?nValor1=1&amp;nValor2=83731&amp;nValor3=130560&amp;param1=NRTC&amp;strTipM=TC</w:t>
        </w:r>
      </w:hyperlink>
      <w:r>
        <w:t xml:space="preserve"> — Marco del impuesto anual.</w:t>
      </w:r>
    </w:p>
    <w:p>
      <w:pPr>
        <w:pStyle w:val="Source"/>
      </w:pPr>
      <w:r>
        <w:rPr>
          <w:b/>
        </w:rPr>
        <w:t xml:space="preserve">3. Ley 7092, impuesto sobre la renta. </w:t>
      </w:r>
      <w:hyperlink r:id="rId13">
        <w:r>
          <w:rPr>
            <w:color w:val="0563C1"/>
            <w:u w:val="single"/>
          </w:rPr>
          <w:t>https://pgrweb.go.cr/scij/Busqueda/Normativa/Normas/nrm_texto_completo.aspx?nValor1=1&amp;nValor2=10969</w:t>
        </w:r>
      </w:hyperlink>
      <w:r>
        <w:t xml:space="preserve"> — Base legal; tarifas y tratamiento deben confirmarse para el período.</w:t>
      </w:r>
    </w:p>
    <w:p>
      <w:pPr>
        <w:pStyle w:val="Source"/>
      </w:pPr>
      <w:r>
        <w:rPr>
          <w:b/>
        </w:rPr>
        <w:t xml:space="preserve">4. Ley 6826, impuesto al valor agregado. </w:t>
      </w:r>
      <w:hyperlink r:id="rId14">
        <w:r>
          <w:rPr>
            <w:color w:val="0563C1"/>
            <w:u w:val="single"/>
          </w:rPr>
          <w:t>https://pgrweb.go.cr/scij/Busqueda/Normativa/Normas/nrm_texto_completo.aspx?nValor1=1&amp;nValor2=32526&amp;nValor3=138364&amp;param1=NRTC&amp;strTipM=TC</w:t>
        </w:r>
      </w:hyperlink>
      <w:r>
        <w:t xml:space="preserve"> — Base legal del IVA.</w:t>
      </w:r>
    </w:p>
    <w:p>
      <w:pPr>
        <w:pStyle w:val="Source"/>
      </w:pPr>
      <w:r>
        <w:rPr>
          <w:b/>
        </w:rPr>
        <w:t xml:space="preserve">5. TRIBU-CR. </w:t>
      </w:r>
      <w:hyperlink r:id="rId15">
        <w:r>
          <w:rPr>
            <w:color w:val="0563C1"/>
            <w:u w:val="single"/>
          </w:rPr>
          <w:t>https://www.hacienda.go.cr/TRIBU-CR.html</w:t>
        </w:r>
      </w:hyperlink>
      <w:r>
        <w:t xml:space="preserve"> — Registro, declaraciones y gestión tributaria.</w:t>
      </w:r>
    </w:p>
    <w:p>
      <w:pPr>
        <w:pStyle w:val="Source"/>
      </w:pPr>
      <w:r>
        <w:rPr>
          <w:b/>
        </w:rPr>
        <w:t xml:space="preserve">6. Clasificación CIIU4. </w:t>
      </w:r>
      <w:hyperlink r:id="rId16">
        <w:r>
          <w:rPr>
            <w:color w:val="0563C1"/>
            <w:u w:val="single"/>
          </w:rPr>
          <w:t>https://www.hacienda.go.cr/ClasificacionActividadesEconomicas.html</w:t>
        </w:r>
      </w:hyperlink>
      <w:r>
        <w:t xml:space="preserve"> — Actividad económica en TRIBU-CR.</w:t>
      </w:r>
    </w:p>
    <w:p>
      <w:pPr>
        <w:pStyle w:val="Source"/>
      </w:pPr>
      <w:r>
        <w:rPr>
          <w:b/>
        </w:rPr>
        <w:t xml:space="preserve">7. Avisos TRIBU-CR y TICOFACTURA. </w:t>
      </w:r>
      <w:hyperlink r:id="rId17">
        <w:r>
          <w:rPr>
            <w:color w:val="0563C1"/>
            <w:u w:val="single"/>
          </w:rPr>
          <w:t>https://www.hacienda.go.cr/AvisosTRIBU-CR.html</w:t>
        </w:r>
      </w:hyperlink>
      <w:r>
        <w:t xml:space="preserve"> — Facturador gratuito y avisos oficiales.</w:t>
      </w:r>
    </w:p>
    <w:p>
      <w:pPr>
        <w:pStyle w:val="Source"/>
      </w:pPr>
      <w:r>
        <w:rPr>
          <w:b/>
        </w:rPr>
        <w:t xml:space="preserve">8. API de comprobantes electrónicos. </w:t>
      </w:r>
      <w:hyperlink r:id="rId18">
        <w:r>
          <w:rPr>
            <w:color w:val="0563C1"/>
            <w:u w:val="single"/>
          </w:rPr>
          <w:t>https://www.hacienda.go.cr/docs/ComprobantesElectronicosAPI.html</w:t>
        </w:r>
      </w:hyperlink>
      <w:r>
        <w:t xml:space="preserve"> — Interfaz oficial de recepción/validación.</w:t>
      </w:r>
    </w:p>
    <w:p>
      <w:pPr>
        <w:pStyle w:val="Source"/>
      </w:pPr>
      <w:r>
        <w:rPr>
          <w:b/>
        </w:rPr>
        <w:t xml:space="preserve">9. Estructuras de comprobantes electrónicos. </w:t>
      </w:r>
      <w:hyperlink r:id="rId19">
        <w:r>
          <w:rPr>
            <w:color w:val="0563C1"/>
            <w:u w:val="single"/>
          </w:rPr>
          <w:t>https://atv.hacienda.go.cr/ATV/ComprobanteElectronico/frmAnexosyEstructuras.aspx</w:t>
        </w:r>
      </w:hyperlink>
      <w:r>
        <w:t xml:space="preserve"> — Anexos y XSD 4.4.</w:t>
      </w:r>
    </w:p>
    <w:p>
      <w:pPr>
        <w:pStyle w:val="Source"/>
      </w:pPr>
      <w:r>
        <w:rPr>
          <w:b/>
        </w:rPr>
        <w:t xml:space="preserve">10. CCSS: trabajador independiente. </w:t>
      </w:r>
      <w:hyperlink r:id="rId20">
        <w:r>
          <w:rPr>
            <w:color w:val="0563C1"/>
            <w:u w:val="single"/>
          </w:rPr>
          <w:t>https://www.ccss.sa.cr/noticias/noticia?v=425551508701</w:t>
        </w:r>
      </w:hyperlink>
      <w:r>
        <w:t xml:space="preserve"> — Obligatoriedad según base contributiva.</w:t>
      </w:r>
    </w:p>
    <w:p>
      <w:pPr>
        <w:pStyle w:val="Source"/>
      </w:pPr>
      <w:r>
        <w:rPr>
          <w:b/>
        </w:rPr>
        <w:t xml:space="preserve">11. VUI: patente comercial. </w:t>
      </w:r>
      <w:hyperlink r:id="rId21">
        <w:r>
          <w:rPr>
            <w:color w:val="0563C1"/>
            <w:u w:val="single"/>
          </w:rPr>
          <w:t>https://vui.cr/tramite/patente-comercial-municipalidades/</w:t>
        </w:r>
      </w:hyperlink>
      <w:r>
        <w:t xml:space="preserve"> — Permiso y requisitos variables por municipalidad.</w:t>
      </w:r>
    </w:p>
    <w:p>
      <w:pPr>
        <w:pStyle w:val="Source"/>
      </w:pPr>
      <w:r>
        <w:rPr>
          <w:b/>
        </w:rPr>
        <w:t xml:space="preserve">12. Cloudflare Workers Pricing. </w:t>
      </w:r>
      <w:hyperlink r:id="rId22">
        <w:r>
          <w:rPr>
            <w:color w:val="0563C1"/>
            <w:u w:val="single"/>
          </w:rPr>
          <w:t>https://developers.cloudflare.com/workers/platform/pricing/</w:t>
        </w:r>
      </w:hyperlink>
      <w:r>
        <w:t xml:space="preserve"> — Referencia oficial: plan pagado con mínimo US$5/mes, sujeto a uso.</w:t>
      </w:r>
    </w:p>
    <w:p>
      <w:pPr>
        <w:pStyle w:val="Source"/>
      </w:pPr>
      <w:r>
        <w:rPr>
          <w:b/>
        </w:rPr>
        <w:t xml:space="preserve">13. Supabase Pricing. </w:t>
      </w:r>
      <w:hyperlink r:id="rId23">
        <w:r>
          <w:rPr>
            <w:color w:val="0563C1"/>
            <w:u w:val="single"/>
          </w:rPr>
          <w:t>https://supabase.com/pricing</w:t>
        </w:r>
      </w:hyperlink>
      <w:r>
        <w:t xml:space="preserve"> — Referencia oficial: Pro desde US$25/mes y cargos por uso.</w:t>
      </w:r>
    </w:p>
    <w:p>
      <w:pPr>
        <w:pStyle w:val="Source"/>
      </w:pPr>
      <w:r>
        <w:rPr>
          <w:b/>
        </w:rPr>
        <w:t xml:space="preserve">14. Google Workspace Business editions. </w:t>
      </w:r>
      <w:hyperlink r:id="rId24">
        <w:r>
          <w:rPr>
            <w:color w:val="0563C1"/>
            <w:u w:val="single"/>
          </w:rPr>
          <w:t>https://knowledge.workspace.google.com/admin/getting-started/editions/business-editions</w:t>
        </w:r>
      </w:hyperlink>
      <w:r>
        <w:t xml:space="preserve"> — Referencia oficial de precios por usuario.</w:t>
      </w:r>
    </w:p>
    <w:p>
      <w:pPr>
        <w:pStyle w:val="Source"/>
      </w:pPr>
      <w:r>
        <w:rPr>
          <w:b/>
        </w:rPr>
        <w:t xml:space="preserve">15. Tilopay Terms and Conditions. </w:t>
      </w:r>
      <w:hyperlink r:id="rId25">
        <w:r>
          <w:rPr>
            <w:color w:val="0563C1"/>
            <w:u w:val="single"/>
          </w:rPr>
          <w:t>https://connect.tilopay.com/terms-and-conditions/</w:t>
        </w:r>
      </w:hyperlink>
      <w:r>
        <w:t xml:space="preserve"> — Ejemplo de pasarela costarricense; solicitar cotización y revisar contrato.</w:t>
      </w:r>
    </w:p>
    <w:p>
      <w:pPr>
        <w:pStyle w:val="Source"/>
      </w:pPr>
      <w:r>
        <w:rPr>
          <w:b/>
        </w:rPr>
        <w:t xml:space="preserve">16. YouTube Developer Policies. </w:t>
      </w:r>
      <w:hyperlink r:id="rId26">
        <w:r>
          <w:rPr>
            <w:color w:val="0563C1"/>
            <w:u w:val="single"/>
          </w:rPr>
          <w:t>https://developers.google.com/youtube/terms/developer-policies</w:t>
        </w:r>
      </w:hyperlink>
      <w:r>
        <w:t xml:space="preserve"> — Restricciones relevantes al modelo de cobro y player.</w:t>
      </w:r>
    </w:p>
    <w:p>
      <w:pPr>
        <w:pStyle w:val="Heading1"/>
      </w:pPr>
      <w:r>
        <w:t>Anexo A. Información a entregar al contador</w:t>
      </w:r>
    </w:p>
    <w:p>
      <w:pPr>
        <w:pStyle w:val="ListBullet"/>
      </w:pPr>
      <w:r>
        <w:t>Forma jurídica y cantón; actividad exacta; países y tipo de clientes; moneda y pasarela; cada flujo de ingreso; política de reembolsos; contratos de derechos; proveedores extranjeros; gastos y activos; personal/contratistas; fecha prevista de inicio; volumen mensual esperado.</w:t>
      </w:r>
    </w:p>
    <w:p>
      <w:pPr>
        <w:pStyle w:val="Heading1"/>
      </w:pPr>
      <w:r>
        <w:t>Anexo B. Trazabilidad con el proyecto</w:t>
      </w:r>
    </w:p>
    <w:tbl>
      <w:tblPr>
        <w:tblStyle w:val="TableGrid"/>
        <w:tblW w:type="dxa" w:w="9360"/>
        <w:jc w:val="center"/>
        <w:tblLayout w:type="fixed"/>
        <w:tblLook w:firstColumn="1" w:firstRow="1" w:lastColumn="0" w:lastRow="0" w:noHBand="0" w:noVBand="1" w:val="04A0"/>
        <w:tblInd w:w="120" w:type="dxa"/>
      </w:tblPr>
      <w:tblGrid>
        <w:gridCol w:w="3240"/>
        <w:gridCol w:w="6120"/>
      </w:tblGrid>
      <w:tr>
        <w:trPr>
          <w:tblHeader/>
          <w:cantSplit/>
        </w:trPr>
        <w:tc>
          <w:tcPr>
            <w:tcW w:type="dxa" w:w="3240"/>
            <w:shd w:fill="E8EEF5"/>
            <w:tcMar>
              <w:top w:w="80" w:type="dxa"/>
              <w:start w:w="120" w:type="dxa"/>
              <w:bottom w:w="80" w:type="dxa"/>
              <w:end w:w="120" w:type="dxa"/>
            </w:tcMar>
            <w:vAlign w:val="center"/>
          </w:tcPr>
          <w:p>
            <w:r>
              <w:rPr>
                <w:b/>
              </w:rPr>
              <w:t>Fuente interna</w:t>
            </w:r>
          </w:p>
        </w:tc>
        <w:tc>
          <w:tcPr>
            <w:tcW w:type="dxa" w:w="6120"/>
            <w:shd w:fill="E8EEF5"/>
            <w:tcMar>
              <w:top w:w="80" w:type="dxa"/>
              <w:start w:w="120" w:type="dxa"/>
              <w:bottom w:w="80" w:type="dxa"/>
              <w:end w:w="120" w:type="dxa"/>
            </w:tcMar>
            <w:vAlign w:val="center"/>
          </w:tcPr>
          <w:p>
            <w:r>
              <w:rPr>
                <w:b/>
              </w:rPr>
              <w:t>Impacto económico</w:t>
            </w:r>
          </w:p>
        </w:tc>
      </w:tr>
      <w:tr>
        <w:trPr>
          <w:cantSplit/>
        </w:trPr>
        <w:tc>
          <w:tcPr>
            <w:tcW w:type="dxa" w:w="3240"/>
            <w:tcMar>
              <w:top w:w="80" w:type="dxa"/>
              <w:start w:w="120" w:type="dxa"/>
              <w:bottom w:w="80" w:type="dxa"/>
              <w:end w:w="120" w:type="dxa"/>
            </w:tcMar>
            <w:vAlign w:val="center"/>
          </w:tcPr>
          <w:p>
            <w:pPr>
              <w:spacing w:after="40"/>
            </w:pPr>
            <w:r>
              <w:rPr>
                <w:sz w:val="18"/>
              </w:rPr>
              <w:t>M01–M19</w:t>
            </w:r>
          </w:p>
        </w:tc>
        <w:tc>
          <w:tcPr>
            <w:tcW w:type="dxa" w:w="6120"/>
            <w:tcMar>
              <w:top w:w="80" w:type="dxa"/>
              <w:start w:w="120" w:type="dxa"/>
              <w:bottom w:w="80" w:type="dxa"/>
              <w:end w:w="120" w:type="dxa"/>
            </w:tcMar>
            <w:vAlign w:val="center"/>
          </w:tcPr>
          <w:p>
            <w:pPr>
              <w:spacing w:after="40"/>
            </w:pPr>
            <w:r>
              <w:rPr>
                <w:sz w:val="18"/>
              </w:rPr>
              <w:t>Define módulos futuros, seguridad, contenido, cuentas y operación que generan costo.</w:t>
            </w:r>
          </w:p>
        </w:tc>
      </w:tr>
      <w:tr>
        <w:trPr>
          <w:cantSplit/>
        </w:trPr>
        <w:tc>
          <w:tcPr>
            <w:tcW w:type="dxa" w:w="3240"/>
            <w:tcMar>
              <w:top w:w="80" w:type="dxa"/>
              <w:start w:w="120" w:type="dxa"/>
              <w:bottom w:w="80" w:type="dxa"/>
              <w:end w:w="120" w:type="dxa"/>
            </w:tcMar>
            <w:vAlign w:val="center"/>
          </w:tcPr>
          <w:p>
            <w:pPr>
              <w:spacing w:after="40"/>
            </w:pPr>
            <w:r>
              <w:rPr>
                <w:sz w:val="18"/>
              </w:rPr>
              <w:t>Alcance MVP</w:t>
            </w:r>
          </w:p>
        </w:tc>
        <w:tc>
          <w:tcPr>
            <w:tcW w:type="dxa" w:w="6120"/>
            <w:tcMar>
              <w:top w:w="80" w:type="dxa"/>
              <w:start w:w="120" w:type="dxa"/>
              <w:bottom w:w="80" w:type="dxa"/>
              <w:end w:w="120" w:type="dxa"/>
            </w:tcMar>
            <w:vAlign w:val="center"/>
          </w:tcPr>
          <w:p>
            <w:pPr>
              <w:spacing w:after="40"/>
            </w:pPr>
            <w:r>
              <w:rPr>
                <w:sz w:val="18"/>
              </w:rPr>
              <w:t>Evita presupuestar P1/P2 antes de validar.</w:t>
            </w:r>
          </w:p>
        </w:tc>
      </w:tr>
      <w:tr>
        <w:trPr>
          <w:cantSplit/>
        </w:trPr>
        <w:tc>
          <w:tcPr>
            <w:tcW w:type="dxa" w:w="3240"/>
            <w:tcMar>
              <w:top w:w="80" w:type="dxa"/>
              <w:start w:w="120" w:type="dxa"/>
              <w:bottom w:w="80" w:type="dxa"/>
              <w:end w:w="120" w:type="dxa"/>
            </w:tcMar>
            <w:vAlign w:val="center"/>
          </w:tcPr>
          <w:p>
            <w:pPr>
              <w:spacing w:after="40"/>
            </w:pPr>
            <w:r>
              <w:rPr>
                <w:sz w:val="18"/>
              </w:rPr>
              <w:t>RNF medibles</w:t>
            </w:r>
          </w:p>
        </w:tc>
        <w:tc>
          <w:tcPr>
            <w:tcW w:type="dxa" w:w="6120"/>
            <w:tcMar>
              <w:top w:w="80" w:type="dxa"/>
              <w:start w:w="120" w:type="dxa"/>
              <w:bottom w:w="80" w:type="dxa"/>
              <w:end w:w="120" w:type="dxa"/>
            </w:tcMar>
            <w:vAlign w:val="center"/>
          </w:tcPr>
          <w:p>
            <w:pPr>
              <w:spacing w:after="40"/>
            </w:pPr>
            <w:r>
              <w:rPr>
                <w:sz w:val="18"/>
              </w:rPr>
              <w:t>Convierte seguridad, backup, accesibilidad, privacidad y pruebas en partidas.</w:t>
            </w:r>
          </w:p>
        </w:tc>
      </w:tr>
      <w:tr>
        <w:trPr>
          <w:cantSplit/>
        </w:trPr>
        <w:tc>
          <w:tcPr>
            <w:tcW w:type="dxa" w:w="3240"/>
            <w:tcMar>
              <w:top w:w="80" w:type="dxa"/>
              <w:start w:w="120" w:type="dxa"/>
              <w:bottom w:w="80" w:type="dxa"/>
              <w:end w:w="120" w:type="dxa"/>
            </w:tcMar>
            <w:vAlign w:val="center"/>
          </w:tcPr>
          <w:p>
            <w:pPr>
              <w:spacing w:after="40"/>
            </w:pPr>
            <w:r>
              <w:rPr>
                <w:sz w:val="18"/>
              </w:rPr>
              <w:t>Casos de uso</w:t>
            </w:r>
          </w:p>
        </w:tc>
        <w:tc>
          <w:tcPr>
            <w:tcW w:type="dxa" w:w="6120"/>
            <w:tcMar>
              <w:top w:w="80" w:type="dxa"/>
              <w:start w:w="120" w:type="dxa"/>
              <w:bottom w:w="80" w:type="dxa"/>
              <w:end w:w="120" w:type="dxa"/>
            </w:tcMar>
            <w:vAlign w:val="center"/>
          </w:tcPr>
          <w:p>
            <w:pPr>
              <w:spacing w:after="40"/>
            </w:pPr>
            <w:r>
              <w:rPr>
                <w:sz w:val="18"/>
              </w:rPr>
              <w:t>Permite estimar QA, soporte y operación.</w:t>
            </w:r>
          </w:p>
        </w:tc>
      </w:tr>
      <w:tr>
        <w:trPr>
          <w:cantSplit/>
        </w:trPr>
        <w:tc>
          <w:tcPr>
            <w:tcW w:type="dxa" w:w="3240"/>
            <w:tcMar>
              <w:top w:w="80" w:type="dxa"/>
              <w:start w:w="120" w:type="dxa"/>
              <w:bottom w:w="80" w:type="dxa"/>
              <w:end w:w="120" w:type="dxa"/>
            </w:tcMar>
            <w:vAlign w:val="center"/>
          </w:tcPr>
          <w:p>
            <w:pPr>
              <w:spacing w:after="40"/>
            </w:pPr>
            <w:r>
              <w:rPr>
                <w:sz w:val="18"/>
              </w:rPr>
              <w:t>Arquitectura</w:t>
            </w:r>
          </w:p>
        </w:tc>
        <w:tc>
          <w:tcPr>
            <w:tcW w:type="dxa" w:w="6120"/>
            <w:tcMar>
              <w:top w:w="80" w:type="dxa"/>
              <w:start w:w="120" w:type="dxa"/>
              <w:bottom w:w="80" w:type="dxa"/>
              <w:end w:w="120" w:type="dxa"/>
            </w:tcMar>
            <w:vAlign w:val="center"/>
          </w:tcPr>
          <w:p>
            <w:pPr>
              <w:spacing w:after="40"/>
            </w:pPr>
            <w:r>
              <w:rPr>
                <w:sz w:val="18"/>
              </w:rPr>
              <w:t>Define PostgreSQL, objetos, YouTube y observabilidad.</w:t>
            </w:r>
          </w:p>
        </w:tc>
      </w:tr>
      <w:tr>
        <w:trPr>
          <w:cantSplit/>
        </w:trPr>
        <w:tc>
          <w:tcPr>
            <w:tcW w:type="dxa" w:w="3240"/>
            <w:tcMar>
              <w:top w:w="80" w:type="dxa"/>
              <w:start w:w="120" w:type="dxa"/>
              <w:bottom w:w="80" w:type="dxa"/>
              <w:end w:w="120" w:type="dxa"/>
            </w:tcMar>
            <w:vAlign w:val="center"/>
          </w:tcPr>
          <w:p>
            <w:pPr>
              <w:spacing w:after="40"/>
            </w:pPr>
            <w:r>
              <w:rPr>
                <w:sz w:val="18"/>
              </w:rPr>
              <w:t>Modelo de datos</w:t>
            </w:r>
          </w:p>
        </w:tc>
        <w:tc>
          <w:tcPr>
            <w:tcW w:type="dxa" w:w="6120"/>
            <w:tcMar>
              <w:top w:w="80" w:type="dxa"/>
              <w:start w:w="120" w:type="dxa"/>
              <w:bottom w:w="80" w:type="dxa"/>
              <w:end w:w="120" w:type="dxa"/>
            </w:tcMar>
            <w:vAlign w:val="center"/>
          </w:tcPr>
          <w:p>
            <w:pPr>
              <w:spacing w:after="40"/>
            </w:pPr>
            <w:r>
              <w:rPr>
                <w:sz w:val="18"/>
              </w:rPr>
              <w:t>Sustenta M20, auditoría, retención y rights_scope.</w:t>
            </w:r>
          </w:p>
        </w:tc>
      </w:tr>
      <w:tr>
        <w:trPr>
          <w:cantSplit/>
        </w:trPr>
        <w:tc>
          <w:tcPr>
            <w:tcW w:type="dxa" w:w="3240"/>
            <w:tcMar>
              <w:top w:w="80" w:type="dxa"/>
              <w:start w:w="120" w:type="dxa"/>
              <w:bottom w:w="80" w:type="dxa"/>
              <w:end w:w="120" w:type="dxa"/>
            </w:tcMar>
            <w:vAlign w:val="center"/>
          </w:tcPr>
          <w:p>
            <w:pPr>
              <w:spacing w:after="40"/>
            </w:pPr>
            <w:r>
              <w:rPr>
                <w:sz w:val="18"/>
              </w:rPr>
              <w:t>Diseño físico</w:t>
            </w:r>
          </w:p>
        </w:tc>
        <w:tc>
          <w:tcPr>
            <w:tcW w:type="dxa" w:w="6120"/>
            <w:tcMar>
              <w:top w:w="80" w:type="dxa"/>
              <w:start w:w="120" w:type="dxa"/>
              <w:bottom w:w="80" w:type="dxa"/>
              <w:end w:w="120" w:type="dxa"/>
            </w:tcMar>
            <w:vAlign w:val="center"/>
          </w:tcPr>
          <w:p>
            <w:pPr>
              <w:spacing w:after="40"/>
            </w:pPr>
            <w:r>
              <w:rPr>
                <w:sz w:val="18"/>
              </w:rPr>
              <w:t>Permite estimar administración y crecimiento de base.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Documento de planificación — revisión profesional requerida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Plan económico y financiero de lanzamiento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gistronacional.go.cr/tramites_servicios/tramitesregistros/personas%20juridicas/personas_juridicas_aranceles.htm" TargetMode="External"/><Relationship Id="rId12" Type="http://schemas.openxmlformats.org/officeDocument/2006/relationships/hyperlink" Target="https://pgrweb.go.cr/SCIJ/Busqueda/Normativa/Normas/nrm_texto_completo.aspx?nValor1=1&amp;nValor2=83731&amp;nValor3=130560&amp;param1=NRTC&amp;strTipM=TC" TargetMode="External"/><Relationship Id="rId13" Type="http://schemas.openxmlformats.org/officeDocument/2006/relationships/hyperlink" Target="https://pgrweb.go.cr/scij/Busqueda/Normativa/Normas/nrm_texto_completo.aspx?nValor1=1&amp;nValor2=10969" TargetMode="External"/><Relationship Id="rId14" Type="http://schemas.openxmlformats.org/officeDocument/2006/relationships/hyperlink" Target="https://pgrweb.go.cr/scij/Busqueda/Normativa/Normas/nrm_texto_completo.aspx?nValor1=1&amp;nValor2=32526&amp;nValor3=138364&amp;param1=NRTC&amp;strTipM=TC" TargetMode="External"/><Relationship Id="rId15" Type="http://schemas.openxmlformats.org/officeDocument/2006/relationships/hyperlink" Target="https://www.hacienda.go.cr/TRIBU-CR.html" TargetMode="External"/><Relationship Id="rId16" Type="http://schemas.openxmlformats.org/officeDocument/2006/relationships/hyperlink" Target="https://www.hacienda.go.cr/ClasificacionActividadesEconomicas.html" TargetMode="External"/><Relationship Id="rId17" Type="http://schemas.openxmlformats.org/officeDocument/2006/relationships/hyperlink" Target="https://www.hacienda.go.cr/AvisosTRIBU-CR.html" TargetMode="External"/><Relationship Id="rId18" Type="http://schemas.openxmlformats.org/officeDocument/2006/relationships/hyperlink" Target="https://www.hacienda.go.cr/docs/ComprobantesElectronicosAPI.html" TargetMode="External"/><Relationship Id="rId19" Type="http://schemas.openxmlformats.org/officeDocument/2006/relationships/hyperlink" Target="https://atv.hacienda.go.cr/ATV/ComprobanteElectronico/frmAnexosyEstructuras.aspx" TargetMode="External"/><Relationship Id="rId20" Type="http://schemas.openxmlformats.org/officeDocument/2006/relationships/hyperlink" Target="https://www.ccss.sa.cr/noticias/noticia?v=425551508701" TargetMode="External"/><Relationship Id="rId21" Type="http://schemas.openxmlformats.org/officeDocument/2006/relationships/hyperlink" Target="https://vui.cr/tramite/patente-comercial-municipalidades/" TargetMode="External"/><Relationship Id="rId22" Type="http://schemas.openxmlformats.org/officeDocument/2006/relationships/hyperlink" Target="https://developers.cloudflare.com/workers/platform/pricing/" TargetMode="External"/><Relationship Id="rId23" Type="http://schemas.openxmlformats.org/officeDocument/2006/relationships/hyperlink" Target="https://supabase.com/pricing" TargetMode="External"/><Relationship Id="rId24" Type="http://schemas.openxmlformats.org/officeDocument/2006/relationships/hyperlink" Target="https://knowledge.workspace.google.com/admin/getting-started/editions/business-editions" TargetMode="External"/><Relationship Id="rId25" Type="http://schemas.openxmlformats.org/officeDocument/2006/relationships/hyperlink" Target="https://connect.tilopay.com/terms-and-conditions/" TargetMode="External"/><Relationship Id="rId26" Type="http://schemas.openxmlformats.org/officeDocument/2006/relationships/hyperlink" Target="https://developers.google.com/youtube/terms/developer-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