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legal de preparación para el lanzamiento</w:t>
      </w:r>
    </w:p>
    <w:p>
      <w:pPr>
        <w:pStyle w:val="Subtitle"/>
        <w:jc w:val="center"/>
      </w:pPr>
      <w:r>
        <w:t>Obligaciones, riesgos, controles y evidencia para una plataforma de traducción musical</w:t>
      </w:r>
    </w:p>
    <w:p>
      <w:pPr>
        <w:spacing w:before="560"/>
        <w:jc w:val="center"/>
      </w:pPr>
      <w:r>
        <w:rPr>
          <w:b/>
        </w:rPr>
        <w:t>Proyecto: Plataforma de aprendizaje de japonés mediante canciones</w:t>
      </w:r>
    </w:p>
    <w:p>
      <w:pPr>
        <w:jc w:val="center"/>
      </w:pPr>
      <w:r>
        <w:t>Jurisdicción principal: Costa Rica | Versión: 11 de agosto de 2026</w:t>
      </w:r>
    </w:p>
    <w:p>
      <w:pPr>
        <w:spacing w:before="560"/>
        <w:jc w:val="center"/>
      </w:pPr>
      <w:r>
        <w:rPr>
          <w:b/>
          <w:color w:val="9B1C1C"/>
        </w:rPr>
        <w:t>Estado: documento de preparación, no dictamen profesional</w:t>
      </w:r>
    </w:p>
    <w:p>
      <w:r>
        <w:br w:type="page"/>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E6"/>
          </w:tcPr>
          <w:p>
            <w:r>
              <w:rPr>
                <w:b/>
              </w:rPr>
              <w:t xml:space="preserve">Advertencia: </w:t>
            </w:r>
            <w:r>
              <w:t>Este documento organiza asuntos para revisión con abogado, contador y autoridades; no sustituye asesoría legal ni determina por sí solo la licitud de publicar una canción, una traducción o un modelo de cobro. La salida pública queda bloqueada hasta cerrar los puntos marcados como “imprescindibles”.</w:t>
            </w:r>
          </w:p>
        </w:tc>
      </w:tr>
    </w:tbl>
    <w:p>
      <w:pPr>
        <w:spacing w:after="20"/>
      </w:pPr>
    </w:p>
    <w:p>
      <w:pPr>
        <w:pStyle w:val="Heading1"/>
      </w:pPr>
      <w:r>
        <w:t>1. Resumen ejecutivo</w:t>
      </w:r>
    </w:p>
    <w:p>
      <w:r>
        <w:t>El riesgo dominante es la propiedad intelectual. Una traducción de letra no queda libre por haber sido creada por el equipo: la traducción es una explotación derivada del texto original y normalmente exige autorización del titular. Incrustar un video autorizado de YouTube no concede licencia para copiar, mostrar, sincronizar ni traducir la letra. La monetización aumenta la exposición, pero el problema existe incluso si el sitio es gratuito.</w:t>
      </w:r>
    </w:p>
    <w:p>
      <w:r>
        <w:t>El segundo bloque es la operación formal en Costa Rica: identidad del operador, tributación, comprobantes, consumidor, privacidad, contratos y permisos. El proyecto ya contiene controles valiosos —procedencia, rights_record, rights_scope, consentimiento versionado, solicitudes de privacidad, retención, auditoría y privacidad mejorada de YouTube— que deben conectarse con decisiones jurídicas reales.</w:t>
      </w:r>
    </w:p>
    <w:tbl>
      <w:tblPr>
        <w:tblStyle w:val="TableGrid"/>
        <w:tblW w:type="dxa" w:w="9360"/>
        <w:jc w:val="center"/>
        <w:tblLayout w:type="fixed"/>
        <w:tblLook w:firstColumn="1" w:firstRow="1" w:lastColumn="0" w:lastRow="0" w:noHBand="0" w:noVBand="1" w:val="04A0"/>
        <w:tblInd w:w="120" w:type="dxa"/>
      </w:tblPr>
      <w:tblGrid>
        <w:gridCol w:w="2376"/>
        <w:gridCol w:w="4968"/>
        <w:gridCol w:w="2015"/>
      </w:tblGrid>
      <w:tr>
        <w:trPr>
          <w:tblHeader/>
          <w:cantSplit/>
        </w:trPr>
        <w:tc>
          <w:tcPr>
            <w:tcW w:type="dxa" w:w="2376"/>
            <w:shd w:fill="E8EEF5"/>
            <w:tcMar>
              <w:top w:w="80" w:type="dxa"/>
              <w:start w:w="120" w:type="dxa"/>
              <w:bottom w:w="80" w:type="dxa"/>
              <w:end w:w="120" w:type="dxa"/>
            </w:tcMar>
            <w:vAlign w:val="center"/>
          </w:tcPr>
          <w:p>
            <w:r>
              <w:rPr>
                <w:b/>
              </w:rPr>
              <w:t>Decisión previa</w:t>
            </w:r>
          </w:p>
        </w:tc>
        <w:tc>
          <w:tcPr>
            <w:tcW w:type="dxa" w:w="4968"/>
            <w:shd w:fill="E8EEF5"/>
            <w:tcMar>
              <w:top w:w="80" w:type="dxa"/>
              <w:start w:w="120" w:type="dxa"/>
              <w:bottom w:w="80" w:type="dxa"/>
              <w:end w:w="120" w:type="dxa"/>
            </w:tcMar>
            <w:vAlign w:val="center"/>
          </w:tcPr>
          <w:p>
            <w:r>
              <w:rPr>
                <w:b/>
              </w:rPr>
              <w:t>Resultado exigido</w:t>
            </w:r>
          </w:p>
        </w:tc>
        <w:tc>
          <w:tcPr>
            <w:tcW w:type="dxa" w:w="2015"/>
            <w:shd w:fill="E8EEF5"/>
            <w:tcMar>
              <w:top w:w="80" w:type="dxa"/>
              <w:start w:w="120" w:type="dxa"/>
              <w:bottom w:w="80" w:type="dxa"/>
              <w:end w:w="120" w:type="dxa"/>
            </w:tcMar>
            <w:vAlign w:val="center"/>
          </w:tcPr>
          <w:p>
            <w:r>
              <w:rPr>
                <w:b/>
              </w:rPr>
              <w:t>Estado de lanzamiento</w:t>
            </w:r>
          </w:p>
        </w:tc>
      </w:tr>
      <w:tr>
        <w:trPr>
          <w:cantSplit/>
        </w:trPr>
        <w:tc>
          <w:tcPr>
            <w:tcW w:type="dxa" w:w="2376"/>
            <w:tcMar>
              <w:top w:w="80" w:type="dxa"/>
              <w:start w:w="120" w:type="dxa"/>
              <w:bottom w:w="80" w:type="dxa"/>
              <w:end w:w="120" w:type="dxa"/>
            </w:tcMar>
            <w:vAlign w:val="center"/>
          </w:tcPr>
          <w:p>
            <w:pPr>
              <w:spacing w:after="40"/>
            </w:pPr>
            <w:r>
              <w:rPr>
                <w:sz w:val="18"/>
              </w:rPr>
              <w:t>Derechos musicales</w:t>
            </w:r>
          </w:p>
        </w:tc>
        <w:tc>
          <w:tcPr>
            <w:tcW w:type="dxa" w:w="4968"/>
            <w:tcMar>
              <w:top w:w="80" w:type="dxa"/>
              <w:start w:w="120" w:type="dxa"/>
              <w:bottom w:w="80" w:type="dxa"/>
              <w:end w:w="120" w:type="dxa"/>
            </w:tcMar>
            <w:vAlign w:val="center"/>
          </w:tcPr>
          <w:p>
            <w:pPr>
              <w:spacing w:after="40"/>
            </w:pPr>
            <w:r>
              <w:rPr>
                <w:sz w:val="18"/>
              </w:rPr>
              <w:t>Licencia escrita por contenido, uso, territorio, idioma, canal, plazo y monetización</w:t>
            </w:r>
          </w:p>
        </w:tc>
        <w:tc>
          <w:tcPr>
            <w:tcW w:type="dxa" w:w="2015"/>
            <w:tcMar>
              <w:top w:w="80" w:type="dxa"/>
              <w:start w:w="120" w:type="dxa"/>
              <w:bottom w:w="80" w:type="dxa"/>
              <w:end w:w="120" w:type="dxa"/>
            </w:tcMar>
            <w:vAlign w:val="center"/>
          </w:tcPr>
          <w:p>
            <w:pPr>
              <w:spacing w:after="40"/>
            </w:pPr>
            <w:r>
              <w:rPr>
                <w:sz w:val="18"/>
              </w:rPr>
              <w:t>Bloqueante</w:t>
            </w:r>
          </w:p>
        </w:tc>
      </w:tr>
      <w:tr>
        <w:trPr>
          <w:cantSplit/>
        </w:trPr>
        <w:tc>
          <w:tcPr>
            <w:tcW w:type="dxa" w:w="2376"/>
            <w:tcMar>
              <w:top w:w="80" w:type="dxa"/>
              <w:start w:w="120" w:type="dxa"/>
              <w:bottom w:w="80" w:type="dxa"/>
              <w:end w:w="120" w:type="dxa"/>
            </w:tcMar>
            <w:vAlign w:val="center"/>
          </w:tcPr>
          <w:p>
            <w:pPr>
              <w:spacing w:after="40"/>
            </w:pPr>
            <w:r>
              <w:rPr>
                <w:sz w:val="18"/>
              </w:rPr>
              <w:t>Operador</w:t>
            </w:r>
          </w:p>
        </w:tc>
        <w:tc>
          <w:tcPr>
            <w:tcW w:type="dxa" w:w="4968"/>
            <w:tcMar>
              <w:top w:w="80" w:type="dxa"/>
              <w:start w:w="120" w:type="dxa"/>
              <w:bottom w:w="80" w:type="dxa"/>
              <w:end w:w="120" w:type="dxa"/>
            </w:tcMar>
            <w:vAlign w:val="center"/>
          </w:tcPr>
          <w:p>
            <w:pPr>
              <w:spacing w:after="40"/>
            </w:pPr>
            <w:r>
              <w:rPr>
                <w:sz w:val="18"/>
              </w:rPr>
              <w:t>Persona física con actividad lucrativa o persona jurídica, según dictamen</w:t>
            </w:r>
          </w:p>
        </w:tc>
        <w:tc>
          <w:tcPr>
            <w:tcW w:type="dxa" w:w="2015"/>
            <w:tcMar>
              <w:top w:w="80" w:type="dxa"/>
              <w:start w:w="120" w:type="dxa"/>
              <w:bottom w:w="80" w:type="dxa"/>
              <w:end w:w="120" w:type="dxa"/>
            </w:tcMar>
            <w:vAlign w:val="center"/>
          </w:tcPr>
          <w:p>
            <w:pPr>
              <w:spacing w:after="40"/>
            </w:pPr>
            <w:r>
              <w:rPr>
                <w:sz w:val="18"/>
              </w:rPr>
              <w:t>Bloqueante si hay actividad pública/lucrativa</w:t>
            </w:r>
          </w:p>
        </w:tc>
      </w:tr>
      <w:tr>
        <w:trPr>
          <w:cantSplit/>
        </w:trPr>
        <w:tc>
          <w:tcPr>
            <w:tcW w:type="dxa" w:w="2376"/>
            <w:tcMar>
              <w:top w:w="80" w:type="dxa"/>
              <w:start w:w="120" w:type="dxa"/>
              <w:bottom w:w="80" w:type="dxa"/>
              <w:end w:w="120" w:type="dxa"/>
            </w:tcMar>
            <w:vAlign w:val="center"/>
          </w:tcPr>
          <w:p>
            <w:pPr>
              <w:spacing w:after="40"/>
            </w:pPr>
            <w:r>
              <w:rPr>
                <w:sz w:val="18"/>
              </w:rPr>
              <w:t>Privacidad</w:t>
            </w:r>
          </w:p>
        </w:tc>
        <w:tc>
          <w:tcPr>
            <w:tcW w:type="dxa" w:w="4968"/>
            <w:tcMar>
              <w:top w:w="80" w:type="dxa"/>
              <w:start w:w="120" w:type="dxa"/>
              <w:bottom w:w="80" w:type="dxa"/>
              <w:end w:w="120" w:type="dxa"/>
            </w:tcMar>
            <w:vAlign w:val="center"/>
          </w:tcPr>
          <w:p>
            <w:pPr>
              <w:spacing w:after="40"/>
            </w:pPr>
            <w:r>
              <w:rPr>
                <w:sz w:val="18"/>
              </w:rPr>
              <w:t>Inventario, base jurídica, avisos, contratos, seguridad, derechos y retención</w:t>
            </w:r>
          </w:p>
        </w:tc>
        <w:tc>
          <w:tcPr>
            <w:tcW w:type="dxa" w:w="2015"/>
            <w:tcMar>
              <w:top w:w="80" w:type="dxa"/>
              <w:start w:w="120" w:type="dxa"/>
              <w:bottom w:w="80" w:type="dxa"/>
              <w:end w:w="120" w:type="dxa"/>
            </w:tcMar>
            <w:vAlign w:val="center"/>
          </w:tcPr>
          <w:p>
            <w:pPr>
              <w:spacing w:after="40"/>
            </w:pPr>
            <w:r>
              <w:rPr>
                <w:sz w:val="18"/>
              </w:rPr>
              <w:t>Bloqueante</w:t>
            </w:r>
          </w:p>
        </w:tc>
      </w:tr>
      <w:tr>
        <w:trPr>
          <w:cantSplit/>
        </w:trPr>
        <w:tc>
          <w:tcPr>
            <w:tcW w:type="dxa" w:w="2376"/>
            <w:tcMar>
              <w:top w:w="80" w:type="dxa"/>
              <w:start w:w="120" w:type="dxa"/>
              <w:bottom w:w="80" w:type="dxa"/>
              <w:end w:w="120" w:type="dxa"/>
            </w:tcMar>
            <w:vAlign w:val="center"/>
          </w:tcPr>
          <w:p>
            <w:pPr>
              <w:spacing w:after="40"/>
            </w:pPr>
            <w:r>
              <w:rPr>
                <w:sz w:val="18"/>
              </w:rPr>
              <w:t>Consumo y cobros</w:t>
            </w:r>
          </w:p>
        </w:tc>
        <w:tc>
          <w:tcPr>
            <w:tcW w:type="dxa" w:w="4968"/>
            <w:tcMar>
              <w:top w:w="80" w:type="dxa"/>
              <w:start w:w="120" w:type="dxa"/>
              <w:bottom w:w="80" w:type="dxa"/>
              <w:end w:w="120" w:type="dxa"/>
            </w:tcMar>
            <w:vAlign w:val="center"/>
          </w:tcPr>
          <w:p>
            <w:pPr>
              <w:spacing w:after="40"/>
            </w:pPr>
            <w:r>
              <w:rPr>
                <w:sz w:val="18"/>
              </w:rPr>
              <w:t>Precio total, renovación, cancelación, reembolso, soporte y comprobante</w:t>
            </w:r>
          </w:p>
        </w:tc>
        <w:tc>
          <w:tcPr>
            <w:tcW w:type="dxa" w:w="2015"/>
            <w:tcMar>
              <w:top w:w="80" w:type="dxa"/>
              <w:start w:w="120" w:type="dxa"/>
              <w:bottom w:w="80" w:type="dxa"/>
              <w:end w:w="120" w:type="dxa"/>
            </w:tcMar>
            <w:vAlign w:val="center"/>
          </w:tcPr>
          <w:p>
            <w:pPr>
              <w:spacing w:after="40"/>
            </w:pPr>
            <w:r>
              <w:rPr>
                <w:sz w:val="18"/>
              </w:rPr>
              <w:t>Bloqueante al cobrar</w:t>
            </w:r>
          </w:p>
        </w:tc>
      </w:tr>
      <w:tr>
        <w:trPr>
          <w:cantSplit/>
        </w:trPr>
        <w:tc>
          <w:tcPr>
            <w:tcW w:type="dxa" w:w="2376"/>
            <w:tcMar>
              <w:top w:w="80" w:type="dxa"/>
              <w:start w:w="120" w:type="dxa"/>
              <w:bottom w:w="80" w:type="dxa"/>
              <w:end w:w="120" w:type="dxa"/>
            </w:tcMar>
            <w:vAlign w:val="center"/>
          </w:tcPr>
          <w:p>
            <w:pPr>
              <w:spacing w:after="40"/>
            </w:pPr>
            <w:r>
              <w:rPr>
                <w:sz w:val="18"/>
              </w:rPr>
              <w:t>YouTube</w:t>
            </w:r>
          </w:p>
        </w:tc>
        <w:tc>
          <w:tcPr>
            <w:tcW w:type="dxa" w:w="4968"/>
            <w:tcMar>
              <w:top w:w="80" w:type="dxa"/>
              <w:start w:w="120" w:type="dxa"/>
              <w:bottom w:w="80" w:type="dxa"/>
              <w:end w:w="120" w:type="dxa"/>
            </w:tcMar>
            <w:vAlign w:val="center"/>
          </w:tcPr>
          <w:p>
            <w:pPr>
              <w:spacing w:after="40"/>
            </w:pPr>
            <w:r>
              <w:rPr>
                <w:sz w:val="18"/>
              </w:rPr>
              <w:t>Cumplimiento de términos, player, privacidad y no almacenamiento audiovisual</w:t>
            </w:r>
          </w:p>
        </w:tc>
        <w:tc>
          <w:tcPr>
            <w:tcW w:type="dxa" w:w="2015"/>
            <w:tcMar>
              <w:top w:w="80" w:type="dxa"/>
              <w:start w:w="120" w:type="dxa"/>
              <w:bottom w:w="80" w:type="dxa"/>
              <w:end w:w="120" w:type="dxa"/>
            </w:tcMar>
            <w:vAlign w:val="center"/>
          </w:tcPr>
          <w:p>
            <w:pPr>
              <w:spacing w:after="40"/>
            </w:pPr>
            <w:r>
              <w:rPr>
                <w:sz w:val="18"/>
              </w:rPr>
              <w:t>Bloqueante si se usa</w:t>
            </w:r>
          </w:p>
        </w:tc>
      </w:tr>
      <w:tr>
        <w:trPr>
          <w:cantSplit/>
        </w:trPr>
        <w:tc>
          <w:tcPr>
            <w:tcW w:type="dxa" w:w="2376"/>
            <w:tcMar>
              <w:top w:w="80" w:type="dxa"/>
              <w:start w:w="120" w:type="dxa"/>
              <w:bottom w:w="80" w:type="dxa"/>
              <w:end w:w="120" w:type="dxa"/>
            </w:tcMar>
            <w:vAlign w:val="center"/>
          </w:tcPr>
          <w:p>
            <w:pPr>
              <w:spacing w:after="40"/>
            </w:pPr>
            <w:r>
              <w:rPr>
                <w:sz w:val="18"/>
              </w:rPr>
              <w:t>Nombre/marca</w:t>
            </w:r>
          </w:p>
        </w:tc>
        <w:tc>
          <w:tcPr>
            <w:tcW w:type="dxa" w:w="4968"/>
            <w:tcMar>
              <w:top w:w="80" w:type="dxa"/>
              <w:start w:w="120" w:type="dxa"/>
              <w:bottom w:w="80" w:type="dxa"/>
              <w:end w:w="120" w:type="dxa"/>
            </w:tcMar>
            <w:vAlign w:val="center"/>
          </w:tcPr>
          <w:p>
            <w:pPr>
              <w:spacing w:after="40"/>
            </w:pPr>
            <w:r>
              <w:rPr>
                <w:sz w:val="18"/>
              </w:rPr>
              <w:t>Búsqueda, dominios, redes y estrategia registral</w:t>
            </w:r>
          </w:p>
        </w:tc>
        <w:tc>
          <w:tcPr>
            <w:tcW w:type="dxa" w:w="2015"/>
            <w:tcMar>
              <w:top w:w="80" w:type="dxa"/>
              <w:start w:w="120" w:type="dxa"/>
              <w:bottom w:w="80" w:type="dxa"/>
              <w:end w:w="120" w:type="dxa"/>
            </w:tcMar>
            <w:vAlign w:val="center"/>
          </w:tcPr>
          <w:p>
            <w:pPr>
              <w:spacing w:after="40"/>
            </w:pPr>
            <w:r>
              <w:rPr>
                <w:sz w:val="18"/>
              </w:rPr>
              <w:t>Recomendado antes de promoción</w:t>
            </w:r>
          </w:p>
        </w:tc>
      </w:tr>
    </w:tbl>
    <w:p>
      <w:pPr>
        <w:spacing w:after="20"/>
      </w:pPr>
    </w:p>
    <w:p>
      <w:pPr>
        <w:pStyle w:val="Heading1"/>
      </w:pPr>
      <w:r>
        <w:t>2. Alcance y supuestos</w:t>
      </w:r>
    </w:p>
    <w:p>
      <w:pPr>
        <w:pStyle w:val="ListBullet"/>
      </w:pPr>
      <w:r>
        <w:t>Operación principal desde Costa Rica, con acceso potencial desde otros países.</w:t>
      </w:r>
    </w:p>
    <w:p>
      <w:pPr>
        <w:pStyle w:val="ListBullet"/>
      </w:pPr>
      <w:r>
        <w:t>Contenido educativo en español sobre canciones japonesas; letras, traducciones, romanización, análisis y sincronización.</w:t>
      </w:r>
    </w:p>
    <w:p>
      <w:pPr>
        <w:pStyle w:val="ListBullet"/>
      </w:pPr>
      <w:r>
        <w:t>MVP sin foros, comentarios públicos ni mensajería; participación mediante formularios privados y opciones cerradas.</w:t>
      </w:r>
    </w:p>
    <w:p>
      <w:pPr>
        <w:pStyle w:val="ListBullet"/>
      </w:pPr>
      <w:r>
        <w:t>Reproductor incrustado de YouTube como única dependencia audiovisual externa; el sitio no almacena audio ni video.</w:t>
      </w:r>
    </w:p>
    <w:p>
      <w:pPr>
        <w:pStyle w:val="ListBullet"/>
      </w:pPr>
      <w:r>
        <w:t>Monetización futura posible: donaciones/aportes, anuncios, suscripciones, afiliación y patrocinios.</w:t>
      </w:r>
    </w:p>
    <w:p>
      <w:pPr>
        <w:pStyle w:val="ListBullet"/>
      </w:pPr>
      <w:r>
        <w:t>Cuentas de usuario con progreso educativo, preferencias, alias y datos de seguridad.</w:t>
      </w:r>
    </w:p>
    <w:p>
      <w:pPr>
        <w:pStyle w:val="Heading1"/>
      </w:pPr>
      <w:r>
        <w:t>3. Propiedad intelectual y contenido musical</w:t>
      </w:r>
    </w:p>
    <w:p>
      <w:pPr>
        <w:pStyle w:val="Heading2"/>
      </w:pPr>
      <w:r>
        <w:t>3.1 Derechos que deben despejarse</w:t>
      </w:r>
    </w:p>
    <w:p>
      <w:pPr>
        <w:pStyle w:val="ListBullet"/>
      </w:pPr>
      <w:r>
        <w:t>Letra original: reproducción y puesta a disposición/comunicación según la forma de publicación.</w:t>
      </w:r>
    </w:p>
    <w:p>
      <w:pPr>
        <w:pStyle w:val="ListBullet"/>
      </w:pPr>
      <w:r>
        <w:t>Traducción: autorización para traducir/adaptar y explotar la traducción; definir quién es titular de la traducción creada.</w:t>
      </w:r>
    </w:p>
    <w:p>
      <w:pPr>
        <w:pStyle w:val="ListBullet"/>
      </w:pPr>
      <w:r>
        <w:t>Sincronización: validar si el resaltado cronometrado o asociación estrecha con la grabación requiere una autorización adicional.</w:t>
      </w:r>
    </w:p>
    <w:p>
      <w:pPr>
        <w:pStyle w:val="ListBullet"/>
      </w:pPr>
      <w:r>
        <w:t>Grabación y video: usar solo el player autorizado y respetar si el titular permite la inserción; no descargar, cachear ni retransmitir.</w:t>
      </w:r>
    </w:p>
    <w:p>
      <w:pPr>
        <w:pStyle w:val="ListBullet"/>
      </w:pPr>
      <w:r>
        <w:t>Portadas, fotografías, logotipos y biografías: licencia o fuente que permita el uso concreto.</w:t>
      </w:r>
    </w:p>
    <w:p>
      <w:pPr>
        <w:pStyle w:val="ListBullet"/>
      </w:pPr>
      <w:r>
        <w:t>Créditos y derechos morales: atribución, integridad, correcciones y retiro sin borrar evidencia.</w:t>
      </w:r>
    </w:p>
    <w:p>
      <w:pPr>
        <w:pStyle w:val="ListBullet"/>
      </w:pPr>
      <w:r>
        <w:t>Material propio del sitio: contrato de cesión o licencia con traductores, editores, diseñadores y colaboradores.</w:t>
      </w:r>
    </w:p>
    <w:p>
      <w:pPr>
        <w:pStyle w:val="Heading2"/>
      </w:pPr>
      <w:r>
        <w:t>3.2 Contenido mínimo de cada licencia</w:t>
      </w:r>
    </w:p>
    <w:tbl>
      <w:tblPr>
        <w:tblStyle w:val="TableGrid"/>
        <w:tblW w:type="dxa" w:w="9360"/>
        <w:jc w:val="center"/>
        <w:tblLayout w:type="fixed"/>
        <w:tblLook w:firstColumn="1" w:firstRow="1" w:lastColumn="0" w:lastRow="0" w:noHBand="0" w:noVBand="1" w:val="04A0"/>
        <w:tblInd w:w="120" w:type="dxa"/>
      </w:tblPr>
      <w:tblGrid>
        <w:gridCol w:w="1944"/>
        <w:gridCol w:w="7416"/>
      </w:tblGrid>
      <w:tr>
        <w:trPr>
          <w:tblHeader/>
          <w:cantSplit/>
        </w:trPr>
        <w:tc>
          <w:tcPr>
            <w:tcW w:type="dxa" w:w="1944"/>
            <w:shd w:fill="E8EEF5"/>
            <w:tcMar>
              <w:top w:w="80" w:type="dxa"/>
              <w:start w:w="120" w:type="dxa"/>
              <w:bottom w:w="80" w:type="dxa"/>
              <w:end w:w="120" w:type="dxa"/>
            </w:tcMar>
            <w:vAlign w:val="center"/>
          </w:tcPr>
          <w:p>
            <w:r>
              <w:rPr>
                <w:b/>
              </w:rPr>
              <w:t>Campo</w:t>
            </w:r>
          </w:p>
        </w:tc>
        <w:tc>
          <w:tcPr>
            <w:tcW w:type="dxa" w:w="7416"/>
            <w:shd w:fill="E8EEF5"/>
            <w:tcMar>
              <w:top w:w="80" w:type="dxa"/>
              <w:start w:w="120" w:type="dxa"/>
              <w:bottom w:w="80" w:type="dxa"/>
              <w:end w:w="120" w:type="dxa"/>
            </w:tcMar>
            <w:vAlign w:val="center"/>
          </w:tcPr>
          <w:p>
            <w:r>
              <w:rPr>
                <w:b/>
              </w:rPr>
              <w:t>Qué debe quedar escrito</w:t>
            </w:r>
          </w:p>
        </w:tc>
      </w:tr>
      <w:tr>
        <w:trPr>
          <w:cantSplit/>
        </w:trPr>
        <w:tc>
          <w:tcPr>
            <w:tcW w:type="dxa" w:w="1944"/>
            <w:tcMar>
              <w:top w:w="80" w:type="dxa"/>
              <w:start w:w="120" w:type="dxa"/>
              <w:bottom w:w="80" w:type="dxa"/>
              <w:end w:w="120" w:type="dxa"/>
            </w:tcMar>
            <w:vAlign w:val="center"/>
          </w:tcPr>
          <w:p>
            <w:pPr>
              <w:spacing w:after="40"/>
            </w:pPr>
            <w:r>
              <w:rPr>
                <w:sz w:val="20"/>
              </w:rPr>
              <w:t>Objeto</w:t>
            </w:r>
          </w:p>
        </w:tc>
        <w:tc>
          <w:tcPr>
            <w:tcW w:type="dxa" w:w="7416"/>
            <w:tcMar>
              <w:top w:w="80" w:type="dxa"/>
              <w:start w:w="120" w:type="dxa"/>
              <w:bottom w:w="80" w:type="dxa"/>
              <w:end w:w="120" w:type="dxa"/>
            </w:tcMar>
            <w:vAlign w:val="center"/>
          </w:tcPr>
          <w:p>
            <w:pPr>
              <w:spacing w:after="40"/>
            </w:pPr>
            <w:r>
              <w:rPr>
                <w:sz w:val="20"/>
              </w:rPr>
              <w:t>Obra, grabación, letra, traducción, portada y demás recursos identificados.</w:t>
            </w:r>
          </w:p>
        </w:tc>
      </w:tr>
      <w:tr>
        <w:trPr>
          <w:cantSplit/>
        </w:trPr>
        <w:tc>
          <w:tcPr>
            <w:tcW w:type="dxa" w:w="1944"/>
            <w:tcMar>
              <w:top w:w="80" w:type="dxa"/>
              <w:start w:w="120" w:type="dxa"/>
              <w:bottom w:w="80" w:type="dxa"/>
              <w:end w:w="120" w:type="dxa"/>
            </w:tcMar>
            <w:vAlign w:val="center"/>
          </w:tcPr>
          <w:p>
            <w:pPr>
              <w:spacing w:after="40"/>
            </w:pPr>
            <w:r>
              <w:rPr>
                <w:sz w:val="20"/>
              </w:rPr>
              <w:t>Derechos</w:t>
            </w:r>
          </w:p>
        </w:tc>
        <w:tc>
          <w:tcPr>
            <w:tcW w:type="dxa" w:w="7416"/>
            <w:tcMar>
              <w:top w:w="80" w:type="dxa"/>
              <w:start w:w="120" w:type="dxa"/>
              <w:bottom w:w="80" w:type="dxa"/>
              <w:end w:w="120" w:type="dxa"/>
            </w:tcMar>
            <w:vAlign w:val="center"/>
          </w:tcPr>
          <w:p>
            <w:pPr>
              <w:spacing w:after="40"/>
            </w:pPr>
            <w:r>
              <w:rPr>
                <w:sz w:val="20"/>
              </w:rPr>
              <w:t>Reproducir, traducir/adaptar, mostrar, sincronizar, distribuir o poner a disposición según corresponda.</w:t>
            </w:r>
          </w:p>
        </w:tc>
      </w:tr>
      <w:tr>
        <w:trPr>
          <w:cantSplit/>
        </w:trPr>
        <w:tc>
          <w:tcPr>
            <w:tcW w:type="dxa" w:w="1944"/>
            <w:tcMar>
              <w:top w:w="80" w:type="dxa"/>
              <w:start w:w="120" w:type="dxa"/>
              <w:bottom w:w="80" w:type="dxa"/>
              <w:end w:w="120" w:type="dxa"/>
            </w:tcMar>
            <w:vAlign w:val="center"/>
          </w:tcPr>
          <w:p>
            <w:pPr>
              <w:spacing w:after="40"/>
            </w:pPr>
            <w:r>
              <w:rPr>
                <w:sz w:val="20"/>
              </w:rPr>
              <w:t>Alcance</w:t>
            </w:r>
          </w:p>
        </w:tc>
        <w:tc>
          <w:tcPr>
            <w:tcW w:type="dxa" w:w="7416"/>
            <w:tcMar>
              <w:top w:w="80" w:type="dxa"/>
              <w:start w:w="120" w:type="dxa"/>
              <w:bottom w:w="80" w:type="dxa"/>
              <w:end w:w="120" w:type="dxa"/>
            </w:tcMar>
            <w:vAlign w:val="center"/>
          </w:tcPr>
          <w:p>
            <w:pPr>
              <w:spacing w:after="40"/>
            </w:pPr>
            <w:r>
              <w:rPr>
                <w:sz w:val="20"/>
              </w:rPr>
              <w:t>Sitio web/app, idioma español, territorios, audiencias y versiones.</w:t>
            </w:r>
          </w:p>
        </w:tc>
      </w:tr>
      <w:tr>
        <w:trPr>
          <w:cantSplit/>
        </w:trPr>
        <w:tc>
          <w:tcPr>
            <w:tcW w:type="dxa" w:w="1944"/>
            <w:tcMar>
              <w:top w:w="80" w:type="dxa"/>
              <w:start w:w="120" w:type="dxa"/>
              <w:bottom w:w="80" w:type="dxa"/>
              <w:end w:w="120" w:type="dxa"/>
            </w:tcMar>
            <w:vAlign w:val="center"/>
          </w:tcPr>
          <w:p>
            <w:pPr>
              <w:spacing w:after="40"/>
            </w:pPr>
            <w:r>
              <w:rPr>
                <w:sz w:val="20"/>
              </w:rPr>
              <w:t>Economía</w:t>
            </w:r>
          </w:p>
        </w:tc>
        <w:tc>
          <w:tcPr>
            <w:tcW w:type="dxa" w:w="7416"/>
            <w:tcMar>
              <w:top w:w="80" w:type="dxa"/>
              <w:start w:w="120" w:type="dxa"/>
              <w:bottom w:w="80" w:type="dxa"/>
              <w:end w:w="120" w:type="dxa"/>
            </w:tcMar>
            <w:vAlign w:val="center"/>
          </w:tcPr>
          <w:p>
            <w:pPr>
              <w:spacing w:after="40"/>
            </w:pPr>
            <w:r>
              <w:rPr>
                <w:sz w:val="20"/>
              </w:rPr>
              <w:t>Gratuito, anuncios, suscripción, donaciones, patrocinios; regalía, mínimo, reporte y auditoría.</w:t>
            </w:r>
          </w:p>
        </w:tc>
      </w:tr>
      <w:tr>
        <w:trPr>
          <w:cantSplit/>
        </w:trPr>
        <w:tc>
          <w:tcPr>
            <w:tcW w:type="dxa" w:w="1944"/>
            <w:tcMar>
              <w:top w:w="80" w:type="dxa"/>
              <w:start w:w="120" w:type="dxa"/>
              <w:bottom w:w="80" w:type="dxa"/>
              <w:end w:w="120" w:type="dxa"/>
            </w:tcMar>
            <w:vAlign w:val="center"/>
          </w:tcPr>
          <w:p>
            <w:pPr>
              <w:spacing w:after="40"/>
            </w:pPr>
            <w:r>
              <w:rPr>
                <w:sz w:val="20"/>
              </w:rPr>
              <w:t>Plazo</w:t>
            </w:r>
          </w:p>
        </w:tc>
        <w:tc>
          <w:tcPr>
            <w:tcW w:type="dxa" w:w="7416"/>
            <w:tcMar>
              <w:top w:w="80" w:type="dxa"/>
              <w:start w:w="120" w:type="dxa"/>
              <w:bottom w:w="80" w:type="dxa"/>
              <w:end w:w="120" w:type="dxa"/>
            </w:tcMar>
            <w:vAlign w:val="center"/>
          </w:tcPr>
          <w:p>
            <w:pPr>
              <w:spacing w:after="40"/>
            </w:pPr>
            <w:r>
              <w:rPr>
                <w:sz w:val="20"/>
              </w:rPr>
              <w:t>Inicio, vencimiento, renovación, terminación y período de retirada.</w:t>
            </w:r>
          </w:p>
        </w:tc>
      </w:tr>
      <w:tr>
        <w:trPr>
          <w:cantSplit/>
        </w:trPr>
        <w:tc>
          <w:tcPr>
            <w:tcW w:type="dxa" w:w="1944"/>
            <w:tcMar>
              <w:top w:w="80" w:type="dxa"/>
              <w:start w:w="120" w:type="dxa"/>
              <w:bottom w:w="80" w:type="dxa"/>
              <w:end w:w="120" w:type="dxa"/>
            </w:tcMar>
            <w:vAlign w:val="center"/>
          </w:tcPr>
          <w:p>
            <w:pPr>
              <w:spacing w:after="40"/>
            </w:pPr>
            <w:r>
              <w:rPr>
                <w:sz w:val="20"/>
              </w:rPr>
              <w:t>Crédito</w:t>
            </w:r>
          </w:p>
        </w:tc>
        <w:tc>
          <w:tcPr>
            <w:tcW w:type="dxa" w:w="7416"/>
            <w:tcMar>
              <w:top w:w="80" w:type="dxa"/>
              <w:start w:w="120" w:type="dxa"/>
              <w:bottom w:w="80" w:type="dxa"/>
              <w:end w:w="120" w:type="dxa"/>
            </w:tcMar>
            <w:vAlign w:val="center"/>
          </w:tcPr>
          <w:p>
            <w:pPr>
              <w:spacing w:after="40"/>
            </w:pPr>
            <w:r>
              <w:rPr>
                <w:sz w:val="20"/>
              </w:rPr>
              <w:t>Texto, posición, enlaces y tratamiento de nombres.</w:t>
            </w:r>
          </w:p>
        </w:tc>
      </w:tr>
      <w:tr>
        <w:trPr>
          <w:cantSplit/>
        </w:trPr>
        <w:tc>
          <w:tcPr>
            <w:tcW w:type="dxa" w:w="1944"/>
            <w:tcMar>
              <w:top w:w="80" w:type="dxa"/>
              <w:start w:w="120" w:type="dxa"/>
              <w:bottom w:w="80" w:type="dxa"/>
              <w:end w:w="120" w:type="dxa"/>
            </w:tcMar>
            <w:vAlign w:val="center"/>
          </w:tcPr>
          <w:p>
            <w:pPr>
              <w:spacing w:after="40"/>
            </w:pPr>
            <w:r>
              <w:rPr>
                <w:sz w:val="20"/>
              </w:rPr>
              <w:t>Cambios</w:t>
            </w:r>
          </w:p>
        </w:tc>
        <w:tc>
          <w:tcPr>
            <w:tcW w:type="dxa" w:w="7416"/>
            <w:tcMar>
              <w:top w:w="80" w:type="dxa"/>
              <w:start w:w="120" w:type="dxa"/>
              <w:bottom w:w="80" w:type="dxa"/>
              <w:end w:w="120" w:type="dxa"/>
            </w:tcMar>
            <w:vAlign w:val="center"/>
          </w:tcPr>
          <w:p>
            <w:pPr>
              <w:spacing w:after="40"/>
            </w:pPr>
            <w:r>
              <w:rPr>
                <w:sz w:val="20"/>
              </w:rPr>
              <w:t>Corrección editorial, actualización y aprobación de versiones.</w:t>
            </w:r>
          </w:p>
        </w:tc>
      </w:tr>
      <w:tr>
        <w:trPr>
          <w:cantSplit/>
        </w:trPr>
        <w:tc>
          <w:tcPr>
            <w:tcW w:type="dxa" w:w="1944"/>
            <w:tcMar>
              <w:top w:w="80" w:type="dxa"/>
              <w:start w:w="120" w:type="dxa"/>
              <w:bottom w:w="80" w:type="dxa"/>
              <w:end w:w="120" w:type="dxa"/>
            </w:tcMar>
            <w:vAlign w:val="center"/>
          </w:tcPr>
          <w:p>
            <w:pPr>
              <w:spacing w:after="40"/>
            </w:pPr>
            <w:r>
              <w:rPr>
                <w:sz w:val="20"/>
              </w:rPr>
              <w:t>Evidencia</w:t>
            </w:r>
          </w:p>
        </w:tc>
        <w:tc>
          <w:tcPr>
            <w:tcW w:type="dxa" w:w="7416"/>
            <w:tcMar>
              <w:top w:w="80" w:type="dxa"/>
              <w:start w:w="120" w:type="dxa"/>
              <w:bottom w:w="80" w:type="dxa"/>
              <w:end w:w="120" w:type="dxa"/>
            </w:tcMar>
            <w:vAlign w:val="center"/>
          </w:tcPr>
          <w:p>
            <w:pPr>
              <w:spacing w:after="40"/>
            </w:pPr>
            <w:r>
              <w:rPr>
                <w:sz w:val="20"/>
              </w:rPr>
              <w:t>Contrato, anexos, facultades del licenciante y contacto; conservación y acceso restringido.</w:t>
            </w:r>
          </w:p>
        </w:tc>
      </w:tr>
      <w:tr>
        <w:trPr>
          <w:cantSplit/>
        </w:trPr>
        <w:tc>
          <w:tcPr>
            <w:tcW w:type="dxa" w:w="1944"/>
            <w:tcMar>
              <w:top w:w="80" w:type="dxa"/>
              <w:start w:w="120" w:type="dxa"/>
              <w:bottom w:w="80" w:type="dxa"/>
              <w:end w:w="120" w:type="dxa"/>
            </w:tcMar>
            <w:vAlign w:val="center"/>
          </w:tcPr>
          <w:p>
            <w:pPr>
              <w:spacing w:after="40"/>
            </w:pPr>
            <w:r>
              <w:rPr>
                <w:sz w:val="20"/>
              </w:rPr>
              <w:t>Retiro</w:t>
            </w:r>
          </w:p>
        </w:tc>
        <w:tc>
          <w:tcPr>
            <w:tcW w:type="dxa" w:w="7416"/>
            <w:tcMar>
              <w:top w:w="80" w:type="dxa"/>
              <w:start w:w="120" w:type="dxa"/>
              <w:bottom w:w="80" w:type="dxa"/>
              <w:end w:w="120" w:type="dxa"/>
            </w:tcMar>
            <w:vAlign w:val="center"/>
          </w:tcPr>
          <w:p>
            <w:pPr>
              <w:spacing w:after="40"/>
            </w:pPr>
            <w:r>
              <w:rPr>
                <w:sz w:val="20"/>
              </w:rPr>
              <w:t>Procedimiento por reclamación, expiración, región y sustitución del contenido.</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r>
              <w:rPr>
                <w:b/>
              </w:rPr>
              <w:t xml:space="preserve">Regla técnica propuesta: </w:t>
            </w:r>
            <w:r>
              <w:t>Ninguna publicación pasa a “activa” si rights_record no está vigente o si rights_scope no cubre territorio, idioma, canal y tipo de uso. La monetización debe ser un alcance independiente, no una inferencia.</w:t>
            </w:r>
          </w:p>
        </w:tc>
      </w:tr>
    </w:tbl>
    <w:p>
      <w:pPr>
        <w:spacing w:after="20"/>
      </w:pPr>
    </w:p>
    <w:p>
      <w:pPr>
        <w:pStyle w:val="Heading2"/>
      </w:pPr>
      <w:r>
        <w:t>3.3 Excepciones y uso educativo</w:t>
      </w:r>
    </w:p>
    <w:p>
      <w:r>
        <w:t>No se debe basar el modelo en que “es educativo” o “se usa un fragmento”. Las excepciones son específicas y su aplicación depende del uso concreto. Un abogado debe analizar por separado citas breves, análisis lingüístico, cantidad utilizada, finalidad, atribución, acceso y efecto económico. Hasta entonces, la regla conservadora es no publicar letras o traducciones sin permiso.</w:t>
      </w:r>
    </w:p>
    <w:p>
      <w:pPr>
        <w:pStyle w:val="Heading1"/>
      </w:pPr>
      <w:r>
        <w:t>4. YouTube y servicios de terceros</w:t>
      </w:r>
    </w:p>
    <w:p>
      <w:pPr>
        <w:pStyle w:val="ListBullet"/>
      </w:pPr>
      <w:r>
        <w:t>Utilizar la inserción oficial y respetar dimensiones, controles, atribución, integridad del player y restricciones de autoplay/overlays.</w:t>
      </w:r>
    </w:p>
    <w:p>
      <w:pPr>
        <w:pStyle w:val="ListBullet"/>
      </w:pPr>
      <w:r>
        <w:t>Usar privacidad mejorada y carga diferida según el RNF; autoplay desactivado reduce intercambio previo a la intención de reproducción.</w:t>
      </w:r>
    </w:p>
    <w:p>
      <w:pPr>
        <w:pStyle w:val="ListBullet"/>
      </w:pPr>
      <w:r>
        <w:t>Mantener política de privacidad y términos accesibles; si se usa la API de YouTube, incluir las referencias exigidas por sus políticas.</w:t>
      </w:r>
    </w:p>
    <w:p>
      <w:pPr>
        <w:pStyle w:val="ListBullet"/>
      </w:pPr>
      <w:r>
        <w:t>No cobrar por ver el contenido del player ni incentivar interacciones de YouTube; el valor de pago debe pertenecer a funciones propias licenciadas.</w:t>
      </w:r>
    </w:p>
    <w:p>
      <w:pPr>
        <w:pStyle w:val="ListBullet"/>
      </w:pPr>
      <w:r>
        <w:t>Definir respuesta cuando un video no permita embedding, cambie de región, sea retirado o sea marcado para menores.</w:t>
      </w:r>
    </w:p>
    <w:p>
      <w:pPr>
        <w:pStyle w:val="ListBullet"/>
      </w:pPr>
      <w:r>
        <w:t>Inventariar cookies, identificadores, datos de red y transferencias realizadas por cada tercero antes de activarlo.</w:t>
      </w:r>
    </w:p>
    <w:p>
      <w:pPr>
        <w:pStyle w:val="Heading1"/>
      </w:pPr>
      <w:r>
        <w:t>5. Privacidad y protección de datos</w:t>
      </w:r>
    </w:p>
    <w:p>
      <w:r>
        <w:t>La Ley 8968 y su reglamento exigen diseñar el tratamiento alrededor de finalidad, calidad, seguridad, consentimiento cuando corresponda y derechos de la persona. La obligación exacta de inscripción de bases y los requisitos vigentes deben confirmarse con PRODHAB según el tipo de base y tratamiento.</w:t>
      </w:r>
    </w:p>
    <w:tbl>
      <w:tblPr>
        <w:tblStyle w:val="TableGrid"/>
        <w:tblW w:type="dxa" w:w="9360"/>
        <w:jc w:val="center"/>
        <w:tblLayout w:type="fixed"/>
        <w:tblLook w:firstColumn="1" w:firstRow="1" w:lastColumn="0" w:lastRow="0" w:noHBand="0" w:noVBand="1" w:val="04A0"/>
        <w:tblInd w:w="120" w:type="dxa"/>
      </w:tblPr>
      <w:tblGrid>
        <w:gridCol w:w="1655"/>
        <w:gridCol w:w="4464"/>
        <w:gridCol w:w="3240"/>
      </w:tblGrid>
      <w:tr>
        <w:trPr>
          <w:tblHeader/>
          <w:cantSplit/>
        </w:trPr>
        <w:tc>
          <w:tcPr>
            <w:tcW w:type="dxa" w:w="1655"/>
            <w:shd w:fill="E8EEF5"/>
            <w:tcMar>
              <w:top w:w="80" w:type="dxa"/>
              <w:start w:w="120" w:type="dxa"/>
              <w:bottom w:w="80" w:type="dxa"/>
              <w:end w:w="120" w:type="dxa"/>
            </w:tcMar>
            <w:vAlign w:val="center"/>
          </w:tcPr>
          <w:p>
            <w:r>
              <w:rPr>
                <w:b/>
              </w:rPr>
              <w:t>Área</w:t>
            </w:r>
          </w:p>
        </w:tc>
        <w:tc>
          <w:tcPr>
            <w:tcW w:type="dxa" w:w="4464"/>
            <w:shd w:fill="E8EEF5"/>
            <w:tcMar>
              <w:top w:w="80" w:type="dxa"/>
              <w:start w:w="120" w:type="dxa"/>
              <w:bottom w:w="80" w:type="dxa"/>
              <w:end w:w="120" w:type="dxa"/>
            </w:tcMar>
            <w:vAlign w:val="center"/>
          </w:tcPr>
          <w:p>
            <w:r>
              <w:rPr>
                <w:b/>
              </w:rPr>
              <w:t>Control requerido</w:t>
            </w:r>
          </w:p>
        </w:tc>
        <w:tc>
          <w:tcPr>
            <w:tcW w:type="dxa" w:w="3240"/>
            <w:shd w:fill="E8EEF5"/>
            <w:tcMar>
              <w:top w:w="80" w:type="dxa"/>
              <w:start w:w="120" w:type="dxa"/>
              <w:bottom w:w="80" w:type="dxa"/>
              <w:end w:w="120" w:type="dxa"/>
            </w:tcMar>
            <w:vAlign w:val="center"/>
          </w:tcPr>
          <w:p>
            <w:r>
              <w:rPr>
                <w:b/>
              </w:rPr>
              <w:t>Evidencia</w:t>
            </w:r>
          </w:p>
        </w:tc>
      </w:tr>
      <w:tr>
        <w:trPr>
          <w:cantSplit/>
        </w:trPr>
        <w:tc>
          <w:tcPr>
            <w:tcW w:type="dxa" w:w="1655"/>
            <w:tcMar>
              <w:top w:w="80" w:type="dxa"/>
              <w:start w:w="120" w:type="dxa"/>
              <w:bottom w:w="80" w:type="dxa"/>
              <w:end w:w="120" w:type="dxa"/>
            </w:tcMar>
            <w:vAlign w:val="center"/>
          </w:tcPr>
          <w:p>
            <w:pPr>
              <w:spacing w:after="40"/>
            </w:pPr>
            <w:r>
              <w:rPr>
                <w:sz w:val="18"/>
              </w:rPr>
              <w:t>Inventario</w:t>
            </w:r>
          </w:p>
        </w:tc>
        <w:tc>
          <w:tcPr>
            <w:tcW w:type="dxa" w:w="4464"/>
            <w:tcMar>
              <w:top w:w="80" w:type="dxa"/>
              <w:start w:w="120" w:type="dxa"/>
              <w:bottom w:w="80" w:type="dxa"/>
              <w:end w:w="120" w:type="dxa"/>
            </w:tcMar>
            <w:vAlign w:val="center"/>
          </w:tcPr>
          <w:p>
            <w:pPr>
              <w:spacing w:after="40"/>
            </w:pPr>
            <w:r>
              <w:rPr>
                <w:sz w:val="18"/>
              </w:rPr>
              <w:t>Campo, finalidad, base, responsable, acceso, proveedor, país y retención.</w:t>
            </w:r>
          </w:p>
        </w:tc>
        <w:tc>
          <w:tcPr>
            <w:tcW w:type="dxa" w:w="3240"/>
            <w:tcMar>
              <w:top w:w="80" w:type="dxa"/>
              <w:start w:w="120" w:type="dxa"/>
              <w:bottom w:w="80" w:type="dxa"/>
              <w:end w:w="120" w:type="dxa"/>
            </w:tcMar>
            <w:vAlign w:val="center"/>
          </w:tcPr>
          <w:p>
            <w:pPr>
              <w:spacing w:after="40"/>
            </w:pPr>
            <w:r>
              <w:rPr>
                <w:sz w:val="18"/>
              </w:rPr>
              <w:t>Registro de actividades/diccionario de datos.</w:t>
            </w:r>
          </w:p>
        </w:tc>
      </w:tr>
      <w:tr>
        <w:trPr>
          <w:cantSplit/>
        </w:trPr>
        <w:tc>
          <w:tcPr>
            <w:tcW w:type="dxa" w:w="1655"/>
            <w:tcMar>
              <w:top w:w="80" w:type="dxa"/>
              <w:start w:w="120" w:type="dxa"/>
              <w:bottom w:w="80" w:type="dxa"/>
              <w:end w:w="120" w:type="dxa"/>
            </w:tcMar>
            <w:vAlign w:val="center"/>
          </w:tcPr>
          <w:p>
            <w:pPr>
              <w:spacing w:after="40"/>
            </w:pPr>
            <w:r>
              <w:rPr>
                <w:sz w:val="18"/>
              </w:rPr>
              <w:t>Avisos</w:t>
            </w:r>
          </w:p>
        </w:tc>
        <w:tc>
          <w:tcPr>
            <w:tcW w:type="dxa" w:w="4464"/>
            <w:tcMar>
              <w:top w:w="80" w:type="dxa"/>
              <w:start w:w="120" w:type="dxa"/>
              <w:bottom w:w="80" w:type="dxa"/>
              <w:end w:w="120" w:type="dxa"/>
            </w:tcMar>
            <w:vAlign w:val="center"/>
          </w:tcPr>
          <w:p>
            <w:pPr>
              <w:spacing w:after="40"/>
            </w:pPr>
            <w:r>
              <w:rPr>
                <w:sz w:val="18"/>
              </w:rPr>
              <w:t>Política clara antes de recolectar; capas para registro, YouTube, analítica, pagos y soporte.</w:t>
            </w:r>
          </w:p>
        </w:tc>
        <w:tc>
          <w:tcPr>
            <w:tcW w:type="dxa" w:w="3240"/>
            <w:tcMar>
              <w:top w:w="80" w:type="dxa"/>
              <w:start w:w="120" w:type="dxa"/>
              <w:bottom w:w="80" w:type="dxa"/>
              <w:end w:w="120" w:type="dxa"/>
            </w:tcMar>
            <w:vAlign w:val="center"/>
          </w:tcPr>
          <w:p>
            <w:pPr>
              <w:spacing w:after="40"/>
            </w:pPr>
            <w:r>
              <w:rPr>
                <w:sz w:val="18"/>
              </w:rPr>
              <w:t>Versiones publicadas y archivo.</w:t>
            </w:r>
          </w:p>
        </w:tc>
      </w:tr>
      <w:tr>
        <w:trPr>
          <w:cantSplit/>
        </w:trPr>
        <w:tc>
          <w:tcPr>
            <w:tcW w:type="dxa" w:w="1655"/>
            <w:tcMar>
              <w:top w:w="80" w:type="dxa"/>
              <w:start w:w="120" w:type="dxa"/>
              <w:bottom w:w="80" w:type="dxa"/>
              <w:end w:w="120" w:type="dxa"/>
            </w:tcMar>
            <w:vAlign w:val="center"/>
          </w:tcPr>
          <w:p>
            <w:pPr>
              <w:spacing w:after="40"/>
            </w:pPr>
            <w:r>
              <w:rPr>
                <w:sz w:val="18"/>
              </w:rPr>
              <w:t>Consentimiento</w:t>
            </w:r>
          </w:p>
        </w:tc>
        <w:tc>
          <w:tcPr>
            <w:tcW w:type="dxa" w:w="4464"/>
            <w:tcMar>
              <w:top w:w="80" w:type="dxa"/>
              <w:start w:w="120" w:type="dxa"/>
              <w:bottom w:w="80" w:type="dxa"/>
              <w:end w:w="120" w:type="dxa"/>
            </w:tcMar>
            <w:vAlign w:val="center"/>
          </w:tcPr>
          <w:p>
            <w:pPr>
              <w:spacing w:after="40"/>
            </w:pPr>
            <w:r>
              <w:rPr>
                <w:sz w:val="18"/>
              </w:rPr>
              <w:t>Separar obligatorio/opcional; específico, demostrable y revocable.</w:t>
            </w:r>
          </w:p>
        </w:tc>
        <w:tc>
          <w:tcPr>
            <w:tcW w:type="dxa" w:w="3240"/>
            <w:tcMar>
              <w:top w:w="80" w:type="dxa"/>
              <w:start w:w="120" w:type="dxa"/>
              <w:bottom w:w="80" w:type="dxa"/>
              <w:end w:w="120" w:type="dxa"/>
            </w:tcMar>
            <w:vAlign w:val="center"/>
          </w:tcPr>
          <w:p>
            <w:pPr>
              <w:spacing w:after="40"/>
            </w:pPr>
            <w:r>
              <w:rPr>
                <w:sz w:val="18"/>
              </w:rPr>
              <w:t>consent_record append-only.</w:t>
            </w:r>
          </w:p>
        </w:tc>
      </w:tr>
      <w:tr>
        <w:trPr>
          <w:cantSplit/>
        </w:trPr>
        <w:tc>
          <w:tcPr>
            <w:tcW w:type="dxa" w:w="1655"/>
            <w:tcMar>
              <w:top w:w="80" w:type="dxa"/>
              <w:start w:w="120" w:type="dxa"/>
              <w:bottom w:w="80" w:type="dxa"/>
              <w:end w:w="120" w:type="dxa"/>
            </w:tcMar>
            <w:vAlign w:val="center"/>
          </w:tcPr>
          <w:p>
            <w:pPr>
              <w:spacing w:after="40"/>
            </w:pPr>
            <w:r>
              <w:rPr>
                <w:sz w:val="18"/>
              </w:rPr>
              <w:t>Derechos</w:t>
            </w:r>
          </w:p>
        </w:tc>
        <w:tc>
          <w:tcPr>
            <w:tcW w:type="dxa" w:w="4464"/>
            <w:tcMar>
              <w:top w:w="80" w:type="dxa"/>
              <w:start w:w="120" w:type="dxa"/>
              <w:bottom w:w="80" w:type="dxa"/>
              <w:end w:w="120" w:type="dxa"/>
            </w:tcMar>
            <w:vAlign w:val="center"/>
          </w:tcPr>
          <w:p>
            <w:pPr>
              <w:spacing w:after="40"/>
            </w:pPr>
            <w:r>
              <w:rPr>
                <w:sz w:val="18"/>
              </w:rPr>
              <w:t>Acceso, rectificación, supresión y respuesta verificable.</w:t>
            </w:r>
          </w:p>
        </w:tc>
        <w:tc>
          <w:tcPr>
            <w:tcW w:type="dxa" w:w="3240"/>
            <w:tcMar>
              <w:top w:w="80" w:type="dxa"/>
              <w:start w:w="120" w:type="dxa"/>
              <w:bottom w:w="80" w:type="dxa"/>
              <w:end w:w="120" w:type="dxa"/>
            </w:tcMar>
            <w:vAlign w:val="center"/>
          </w:tcPr>
          <w:p>
            <w:pPr>
              <w:spacing w:after="40"/>
            </w:pPr>
            <w:r>
              <w:rPr>
                <w:sz w:val="18"/>
              </w:rPr>
              <w:t>privacy_request, plazos y resolución.</w:t>
            </w:r>
          </w:p>
        </w:tc>
      </w:tr>
      <w:tr>
        <w:trPr>
          <w:cantSplit/>
        </w:trPr>
        <w:tc>
          <w:tcPr>
            <w:tcW w:type="dxa" w:w="1655"/>
            <w:tcMar>
              <w:top w:w="80" w:type="dxa"/>
              <w:start w:w="120" w:type="dxa"/>
              <w:bottom w:w="80" w:type="dxa"/>
              <w:end w:w="120" w:type="dxa"/>
            </w:tcMar>
            <w:vAlign w:val="center"/>
          </w:tcPr>
          <w:p>
            <w:pPr>
              <w:spacing w:after="40"/>
            </w:pPr>
            <w:r>
              <w:rPr>
                <w:sz w:val="18"/>
              </w:rPr>
              <w:t>Seguridad</w:t>
            </w:r>
          </w:p>
        </w:tc>
        <w:tc>
          <w:tcPr>
            <w:tcW w:type="dxa" w:w="4464"/>
            <w:tcMar>
              <w:top w:w="80" w:type="dxa"/>
              <w:start w:w="120" w:type="dxa"/>
              <w:bottom w:w="80" w:type="dxa"/>
              <w:end w:w="120" w:type="dxa"/>
            </w:tcMar>
            <w:vAlign w:val="center"/>
          </w:tcPr>
          <w:p>
            <w:pPr>
              <w:spacing w:after="40"/>
            </w:pPr>
            <w:r>
              <w:rPr>
                <w:sz w:val="18"/>
              </w:rPr>
              <w:t>Cifrado, mínimo privilegio, MFA administrativa, pruebas, incidentes y backups.</w:t>
            </w:r>
          </w:p>
        </w:tc>
        <w:tc>
          <w:tcPr>
            <w:tcW w:type="dxa" w:w="3240"/>
            <w:tcMar>
              <w:top w:w="80" w:type="dxa"/>
              <w:start w:w="120" w:type="dxa"/>
              <w:bottom w:w="80" w:type="dxa"/>
              <w:end w:w="120" w:type="dxa"/>
            </w:tcMar>
            <w:vAlign w:val="center"/>
          </w:tcPr>
          <w:p>
            <w:pPr>
              <w:spacing w:after="40"/>
            </w:pPr>
            <w:r>
              <w:rPr>
                <w:sz w:val="18"/>
              </w:rPr>
              <w:t>RNF, pruebas y auditoría.</w:t>
            </w:r>
          </w:p>
        </w:tc>
      </w:tr>
      <w:tr>
        <w:trPr>
          <w:cantSplit/>
        </w:trPr>
        <w:tc>
          <w:tcPr>
            <w:tcW w:type="dxa" w:w="1655"/>
            <w:tcMar>
              <w:top w:w="80" w:type="dxa"/>
              <w:start w:w="120" w:type="dxa"/>
              <w:bottom w:w="80" w:type="dxa"/>
              <w:end w:w="120" w:type="dxa"/>
            </w:tcMar>
            <w:vAlign w:val="center"/>
          </w:tcPr>
          <w:p>
            <w:pPr>
              <w:spacing w:after="40"/>
            </w:pPr>
            <w:r>
              <w:rPr>
                <w:sz w:val="18"/>
              </w:rPr>
              <w:t>Retención</w:t>
            </w:r>
          </w:p>
        </w:tc>
        <w:tc>
          <w:tcPr>
            <w:tcW w:type="dxa" w:w="4464"/>
            <w:tcMar>
              <w:top w:w="80" w:type="dxa"/>
              <w:start w:w="120" w:type="dxa"/>
              <w:bottom w:w="80" w:type="dxa"/>
              <w:end w:w="120" w:type="dxa"/>
            </w:tcMar>
            <w:vAlign w:val="center"/>
          </w:tcPr>
          <w:p>
            <w:pPr>
              <w:spacing w:after="40"/>
            </w:pPr>
            <w:r>
              <w:rPr>
                <w:sz w:val="18"/>
              </w:rPr>
              <w:t>Plazos por finalidad; borrado activo y caducidad de copias; excepciones documentadas.</w:t>
            </w:r>
          </w:p>
        </w:tc>
        <w:tc>
          <w:tcPr>
            <w:tcW w:type="dxa" w:w="3240"/>
            <w:tcMar>
              <w:top w:w="80" w:type="dxa"/>
              <w:start w:w="120" w:type="dxa"/>
              <w:bottom w:w="80" w:type="dxa"/>
              <w:end w:w="120" w:type="dxa"/>
            </w:tcMar>
            <w:vAlign w:val="center"/>
          </w:tcPr>
          <w:p>
            <w:pPr>
              <w:spacing w:after="40"/>
            </w:pPr>
            <w:r>
              <w:rPr>
                <w:sz w:val="18"/>
              </w:rPr>
              <w:t>retention_policy y reportes.</w:t>
            </w:r>
          </w:p>
        </w:tc>
      </w:tr>
      <w:tr>
        <w:trPr>
          <w:cantSplit/>
        </w:trPr>
        <w:tc>
          <w:tcPr>
            <w:tcW w:type="dxa" w:w="1655"/>
            <w:tcMar>
              <w:top w:w="80" w:type="dxa"/>
              <w:start w:w="120" w:type="dxa"/>
              <w:bottom w:w="80" w:type="dxa"/>
              <w:end w:w="120" w:type="dxa"/>
            </w:tcMar>
            <w:vAlign w:val="center"/>
          </w:tcPr>
          <w:p>
            <w:pPr>
              <w:spacing w:after="40"/>
            </w:pPr>
            <w:r>
              <w:rPr>
                <w:sz w:val="18"/>
              </w:rPr>
              <w:t>Proveedores</w:t>
            </w:r>
          </w:p>
        </w:tc>
        <w:tc>
          <w:tcPr>
            <w:tcW w:type="dxa" w:w="4464"/>
            <w:tcMar>
              <w:top w:w="80" w:type="dxa"/>
              <w:start w:w="120" w:type="dxa"/>
              <w:bottom w:w="80" w:type="dxa"/>
              <w:end w:w="120" w:type="dxa"/>
            </w:tcMar>
            <w:vAlign w:val="center"/>
          </w:tcPr>
          <w:p>
            <w:pPr>
              <w:spacing w:after="40"/>
            </w:pPr>
            <w:r>
              <w:rPr>
                <w:sz w:val="18"/>
              </w:rPr>
              <w:t>Contrato, instrucciones, confidencialidad, seguridad, subencargados y salida.</w:t>
            </w:r>
          </w:p>
        </w:tc>
        <w:tc>
          <w:tcPr>
            <w:tcW w:type="dxa" w:w="3240"/>
            <w:tcMar>
              <w:top w:w="80" w:type="dxa"/>
              <w:start w:w="120" w:type="dxa"/>
              <w:bottom w:w="80" w:type="dxa"/>
              <w:end w:w="120" w:type="dxa"/>
            </w:tcMar>
            <w:vAlign w:val="center"/>
          </w:tcPr>
          <w:p>
            <w:pPr>
              <w:spacing w:after="40"/>
            </w:pPr>
            <w:r>
              <w:rPr>
                <w:sz w:val="18"/>
              </w:rPr>
              <w:t>DPA/contrato y evaluación.</w:t>
            </w:r>
          </w:p>
        </w:tc>
      </w:tr>
      <w:tr>
        <w:trPr>
          <w:cantSplit/>
        </w:trPr>
        <w:tc>
          <w:tcPr>
            <w:tcW w:type="dxa" w:w="1655"/>
            <w:tcMar>
              <w:top w:w="80" w:type="dxa"/>
              <w:start w:w="120" w:type="dxa"/>
              <w:bottom w:w="80" w:type="dxa"/>
              <w:end w:w="120" w:type="dxa"/>
            </w:tcMar>
            <w:vAlign w:val="center"/>
          </w:tcPr>
          <w:p>
            <w:pPr>
              <w:spacing w:after="40"/>
            </w:pPr>
            <w:r>
              <w:rPr>
                <w:sz w:val="18"/>
              </w:rPr>
              <w:t>Transferencias</w:t>
            </w:r>
          </w:p>
        </w:tc>
        <w:tc>
          <w:tcPr>
            <w:tcW w:type="dxa" w:w="4464"/>
            <w:tcMar>
              <w:top w:w="80" w:type="dxa"/>
              <w:start w:w="120" w:type="dxa"/>
              <w:bottom w:w="80" w:type="dxa"/>
              <w:end w:w="120" w:type="dxa"/>
            </w:tcMar>
            <w:vAlign w:val="center"/>
          </w:tcPr>
          <w:p>
            <w:pPr>
              <w:spacing w:after="40"/>
            </w:pPr>
            <w:r>
              <w:rPr>
                <w:sz w:val="18"/>
              </w:rPr>
              <w:t>Identificar alojamiento y servicios fuera del país y validar el mecanismo aplicable.</w:t>
            </w:r>
          </w:p>
        </w:tc>
        <w:tc>
          <w:tcPr>
            <w:tcW w:type="dxa" w:w="3240"/>
            <w:tcMar>
              <w:top w:w="80" w:type="dxa"/>
              <w:start w:w="120" w:type="dxa"/>
              <w:bottom w:w="80" w:type="dxa"/>
              <w:end w:w="120" w:type="dxa"/>
            </w:tcMar>
            <w:vAlign w:val="center"/>
          </w:tcPr>
          <w:p>
            <w:pPr>
              <w:spacing w:after="40"/>
            </w:pPr>
            <w:r>
              <w:rPr>
                <w:sz w:val="18"/>
              </w:rPr>
              <w:t>Mapa de datos y opinión legal.</w:t>
            </w:r>
          </w:p>
        </w:tc>
      </w:tr>
    </w:tbl>
    <w:p>
      <w:pPr>
        <w:spacing w:after="20"/>
      </w:pPr>
    </w:p>
    <w:p>
      <w:pPr>
        <w:pStyle w:val="Heading2"/>
      </w:pPr>
      <w:r>
        <w:t>5.1 Datos de menores</w:t>
      </w:r>
    </w:p>
    <w:p>
      <w:r>
        <w:t>Antes de abrir el registro debe fijarse una edad mínima y decidir si el servicio se dirige a menores. Si se admiten, se requiere un diseño reforzado: verificación/consentimiento apropiado, minimización, perfiles privados, publicidad no conductual, lenguaje comprensible, soporte, seguridad y tratamiento correcto del estado “Made for Kids” de YouTube. Si no hay capacidad para ello, la opción prudente es excluir menores por ahora y aplicar controles razonables de edad.</w:t>
      </w:r>
    </w:p>
    <w:p>
      <w:pPr>
        <w:pStyle w:val="Heading1"/>
      </w:pPr>
      <w:r>
        <w:t>6. Consumidor, contratos y comercio electrónico</w:t>
      </w:r>
    </w:p>
    <w:p>
      <w:pPr>
        <w:pStyle w:val="ListBullet"/>
      </w:pPr>
      <w:r>
        <w:t>Identificar claramente al proveedor, medios de contacto, características del servicio, limitaciones y compatibilidad.</w:t>
      </w:r>
    </w:p>
    <w:p>
      <w:pPr>
        <w:pStyle w:val="ListBullet"/>
      </w:pPr>
      <w:r>
        <w:t>Mostrar precio total, moneda, impuestos y periodicidad antes de confirmar el pago.</w:t>
      </w:r>
    </w:p>
    <w:p>
      <w:pPr>
        <w:pStyle w:val="ListBullet"/>
      </w:pPr>
      <w:r>
        <w:t>Obtener aceptación demostrable de términos; conservar versión, fecha y transacción sin casillas preseleccionadas.</w:t>
      </w:r>
    </w:p>
    <w:p>
      <w:pPr>
        <w:pStyle w:val="ListBullet"/>
      </w:pPr>
      <w:r>
        <w:t>Explicar prueba, renovación automática, cancelación, suspensión, reembolso, pérdida de acceso y cambios de precio.</w:t>
      </w:r>
    </w:p>
    <w:p>
      <w:pPr>
        <w:pStyle w:val="ListBullet"/>
      </w:pPr>
      <w:r>
        <w:t>Dar confirmación durable de la operación y comprobante electrónico cuando corresponda.</w:t>
      </w:r>
    </w:p>
    <w:p>
      <w:pPr>
        <w:pStyle w:val="ListBullet"/>
      </w:pPr>
      <w:r>
        <w:t>Prohibir cláusulas abusivas, publicidad engañosa y obstáculos desproporcionados para cancelar.</w:t>
      </w:r>
    </w:p>
    <w:p>
      <w:pPr>
        <w:pStyle w:val="ListBullet"/>
      </w:pPr>
      <w:r>
        <w:t>Mantener canal de soporte y expediente de reclamos; definir jurisdicción y mecanismo de resolución sin eliminar derechos imperativos.</w:t>
      </w:r>
    </w:p>
    <w:p>
      <w:pPr>
        <w:pStyle w:val="Heading1"/>
      </w:pPr>
      <w:r>
        <w:t>7. Formalización en Costa Rica</w:t>
      </w:r>
    </w:p>
    <w:tbl>
      <w:tblPr>
        <w:tblStyle w:val="TableGrid"/>
        <w:tblW w:type="dxa" w:w="9360"/>
        <w:jc w:val="center"/>
        <w:tblLayout w:type="fixed"/>
        <w:tblLook w:firstColumn="1" w:firstRow="1" w:lastColumn="0" w:lastRow="0" w:noHBand="0" w:noVBand="1" w:val="04A0"/>
        <w:tblInd w:w="120" w:type="dxa"/>
      </w:tblPr>
      <w:tblGrid>
        <w:gridCol w:w="1728"/>
        <w:gridCol w:w="2592"/>
        <w:gridCol w:w="2880"/>
        <w:gridCol w:w="2160"/>
      </w:tblGrid>
      <w:tr>
        <w:trPr>
          <w:tblHeader/>
          <w:cantSplit/>
        </w:trPr>
        <w:tc>
          <w:tcPr>
            <w:tcW w:type="dxa" w:w="1728"/>
            <w:shd w:fill="E8EEF5"/>
            <w:tcMar>
              <w:top w:w="80" w:type="dxa"/>
              <w:start w:w="120" w:type="dxa"/>
              <w:bottom w:w="80" w:type="dxa"/>
              <w:end w:w="120" w:type="dxa"/>
            </w:tcMar>
            <w:vAlign w:val="center"/>
          </w:tcPr>
          <w:p>
            <w:r>
              <w:rPr>
                <w:b/>
              </w:rPr>
              <w:t>Tema</w:t>
            </w:r>
          </w:p>
        </w:tc>
        <w:tc>
          <w:tcPr>
            <w:tcW w:type="dxa" w:w="2592"/>
            <w:shd w:fill="E8EEF5"/>
            <w:tcMar>
              <w:top w:w="80" w:type="dxa"/>
              <w:start w:w="120" w:type="dxa"/>
              <w:bottom w:w="80" w:type="dxa"/>
              <w:end w:w="120" w:type="dxa"/>
            </w:tcMar>
            <w:vAlign w:val="center"/>
          </w:tcPr>
          <w:p>
            <w:r>
              <w:rPr>
                <w:b/>
              </w:rPr>
              <w:t>Persona física</w:t>
            </w:r>
          </w:p>
        </w:tc>
        <w:tc>
          <w:tcPr>
            <w:tcW w:type="dxa" w:w="2880"/>
            <w:shd w:fill="E8EEF5"/>
            <w:tcMar>
              <w:top w:w="80" w:type="dxa"/>
              <w:start w:w="120" w:type="dxa"/>
              <w:bottom w:w="80" w:type="dxa"/>
              <w:end w:w="120" w:type="dxa"/>
            </w:tcMar>
            <w:vAlign w:val="center"/>
          </w:tcPr>
          <w:p>
            <w:r>
              <w:rPr>
                <w:b/>
              </w:rPr>
              <w:t>Sociedad</w:t>
            </w:r>
          </w:p>
        </w:tc>
        <w:tc>
          <w:tcPr>
            <w:tcW w:type="dxa" w:w="2160"/>
            <w:shd w:fill="E8EEF5"/>
            <w:tcMar>
              <w:top w:w="80" w:type="dxa"/>
              <w:start w:w="120" w:type="dxa"/>
              <w:bottom w:w="80" w:type="dxa"/>
              <w:end w:w="120" w:type="dxa"/>
            </w:tcMar>
            <w:vAlign w:val="center"/>
          </w:tcPr>
          <w:p>
            <w:r>
              <w:rPr>
                <w:b/>
              </w:rPr>
              <w:t>Validación</w:t>
            </w:r>
          </w:p>
        </w:tc>
      </w:tr>
      <w:tr>
        <w:trPr>
          <w:cantSplit/>
        </w:trPr>
        <w:tc>
          <w:tcPr>
            <w:tcW w:type="dxa" w:w="1728"/>
            <w:tcMar>
              <w:top w:w="80" w:type="dxa"/>
              <w:start w:w="120" w:type="dxa"/>
              <w:bottom w:w="80" w:type="dxa"/>
              <w:end w:w="120" w:type="dxa"/>
            </w:tcMar>
            <w:vAlign w:val="center"/>
          </w:tcPr>
          <w:p>
            <w:pPr>
              <w:spacing w:after="40"/>
            </w:pPr>
            <w:r>
              <w:rPr>
                <w:sz w:val="18"/>
              </w:rPr>
              <w:t>Operación</w:t>
            </w:r>
          </w:p>
        </w:tc>
        <w:tc>
          <w:tcPr>
            <w:tcW w:type="dxa" w:w="2592"/>
            <w:tcMar>
              <w:top w:w="80" w:type="dxa"/>
              <w:start w:w="120" w:type="dxa"/>
              <w:bottom w:w="80" w:type="dxa"/>
              <w:end w:w="120" w:type="dxa"/>
            </w:tcMar>
            <w:vAlign w:val="center"/>
          </w:tcPr>
          <w:p>
            <w:pPr>
              <w:spacing w:after="40"/>
            </w:pPr>
            <w:r>
              <w:rPr>
                <w:sz w:val="18"/>
              </w:rPr>
              <w:t>Puede ejercer actividad lucrativa a título personal.</w:t>
            </w:r>
          </w:p>
        </w:tc>
        <w:tc>
          <w:tcPr>
            <w:tcW w:type="dxa" w:w="2880"/>
            <w:tcMar>
              <w:top w:w="80" w:type="dxa"/>
              <w:start w:w="120" w:type="dxa"/>
              <w:bottom w:w="80" w:type="dxa"/>
              <w:end w:w="120" w:type="dxa"/>
            </w:tcMar>
            <w:vAlign w:val="center"/>
          </w:tcPr>
          <w:p>
            <w:pPr>
              <w:spacing w:after="40"/>
            </w:pPr>
            <w:r>
              <w:rPr>
                <w:sz w:val="18"/>
              </w:rPr>
              <w:t>Separa vehículo jurídico y facilita contratos/socios.</w:t>
            </w:r>
          </w:p>
        </w:tc>
        <w:tc>
          <w:tcPr>
            <w:tcW w:type="dxa" w:w="2160"/>
            <w:tcMar>
              <w:top w:w="80" w:type="dxa"/>
              <w:start w:w="120" w:type="dxa"/>
              <w:bottom w:w="80" w:type="dxa"/>
              <w:end w:w="120" w:type="dxa"/>
            </w:tcMar>
            <w:vAlign w:val="center"/>
          </w:tcPr>
          <w:p>
            <w:pPr>
              <w:spacing w:after="40"/>
            </w:pPr>
            <w:r>
              <w:rPr>
                <w:sz w:val="18"/>
              </w:rPr>
              <w:t>Contador + abogado.</w:t>
            </w:r>
          </w:p>
        </w:tc>
      </w:tr>
      <w:tr>
        <w:trPr>
          <w:cantSplit/>
        </w:trPr>
        <w:tc>
          <w:tcPr>
            <w:tcW w:type="dxa" w:w="1728"/>
            <w:tcMar>
              <w:top w:w="80" w:type="dxa"/>
              <w:start w:w="120" w:type="dxa"/>
              <w:bottom w:w="80" w:type="dxa"/>
              <w:end w:w="120" w:type="dxa"/>
            </w:tcMar>
            <w:vAlign w:val="center"/>
          </w:tcPr>
          <w:p>
            <w:pPr>
              <w:spacing w:after="40"/>
            </w:pPr>
            <w:r>
              <w:rPr>
                <w:sz w:val="18"/>
              </w:rPr>
              <w:t>Patrimonio</w:t>
            </w:r>
          </w:p>
        </w:tc>
        <w:tc>
          <w:tcPr>
            <w:tcW w:type="dxa" w:w="2592"/>
            <w:tcMar>
              <w:top w:w="80" w:type="dxa"/>
              <w:start w:w="120" w:type="dxa"/>
              <w:bottom w:w="80" w:type="dxa"/>
              <w:end w:w="120" w:type="dxa"/>
            </w:tcMar>
            <w:vAlign w:val="center"/>
          </w:tcPr>
          <w:p>
            <w:pPr>
              <w:spacing w:after="40"/>
            </w:pPr>
            <w:r>
              <w:rPr>
                <w:sz w:val="18"/>
              </w:rPr>
              <w:t>Mayor exposición personal.</w:t>
            </w:r>
          </w:p>
        </w:tc>
        <w:tc>
          <w:tcPr>
            <w:tcW w:type="dxa" w:w="2880"/>
            <w:tcMar>
              <w:top w:w="80" w:type="dxa"/>
              <w:start w:w="120" w:type="dxa"/>
              <w:bottom w:w="80" w:type="dxa"/>
              <w:end w:w="120" w:type="dxa"/>
            </w:tcMar>
            <w:vAlign w:val="center"/>
          </w:tcPr>
          <w:p>
            <w:pPr>
              <w:spacing w:after="40"/>
            </w:pPr>
            <w:r>
              <w:rPr>
                <w:sz w:val="18"/>
              </w:rPr>
              <w:t>Separación limitada por la forma y conducta; no es inmunidad.</w:t>
            </w:r>
          </w:p>
        </w:tc>
        <w:tc>
          <w:tcPr>
            <w:tcW w:type="dxa" w:w="2160"/>
            <w:tcMar>
              <w:top w:w="80" w:type="dxa"/>
              <w:start w:w="120" w:type="dxa"/>
              <w:bottom w:w="80" w:type="dxa"/>
              <w:end w:w="120" w:type="dxa"/>
            </w:tcMar>
            <w:vAlign w:val="center"/>
          </w:tcPr>
          <w:p>
            <w:pPr>
              <w:spacing w:after="40"/>
            </w:pPr>
            <w:r>
              <w:rPr>
                <w:sz w:val="18"/>
              </w:rPr>
              <w:t>Abogado.</w:t>
            </w:r>
          </w:p>
        </w:tc>
      </w:tr>
      <w:tr>
        <w:trPr>
          <w:cantSplit/>
        </w:trPr>
        <w:tc>
          <w:tcPr>
            <w:tcW w:type="dxa" w:w="1728"/>
            <w:tcMar>
              <w:top w:w="80" w:type="dxa"/>
              <w:start w:w="120" w:type="dxa"/>
              <w:bottom w:w="80" w:type="dxa"/>
              <w:end w:w="120" w:type="dxa"/>
            </w:tcMar>
            <w:vAlign w:val="center"/>
          </w:tcPr>
          <w:p>
            <w:pPr>
              <w:spacing w:after="40"/>
            </w:pPr>
            <w:r>
              <w:rPr>
                <w:sz w:val="18"/>
              </w:rPr>
              <w:t>Inicio</w:t>
            </w:r>
          </w:p>
        </w:tc>
        <w:tc>
          <w:tcPr>
            <w:tcW w:type="dxa" w:w="2592"/>
            <w:tcMar>
              <w:top w:w="80" w:type="dxa"/>
              <w:start w:w="120" w:type="dxa"/>
              <w:bottom w:w="80" w:type="dxa"/>
              <w:end w:w="120" w:type="dxa"/>
            </w:tcMar>
            <w:vAlign w:val="center"/>
          </w:tcPr>
          <w:p>
            <w:pPr>
              <w:spacing w:after="40"/>
            </w:pPr>
            <w:r>
              <w:rPr>
                <w:sz w:val="18"/>
              </w:rPr>
              <w:t>Inscripción y obligaciones aplicables.</w:t>
            </w:r>
          </w:p>
        </w:tc>
        <w:tc>
          <w:tcPr>
            <w:tcW w:type="dxa" w:w="2880"/>
            <w:tcMar>
              <w:top w:w="80" w:type="dxa"/>
              <w:start w:w="120" w:type="dxa"/>
              <w:bottom w:w="80" w:type="dxa"/>
              <w:end w:w="120" w:type="dxa"/>
            </w:tcMar>
            <w:vAlign w:val="center"/>
          </w:tcPr>
          <w:p>
            <w:pPr>
              <w:spacing w:after="40"/>
            </w:pPr>
            <w:r>
              <w:rPr>
                <w:sz w:val="18"/>
              </w:rPr>
              <w:t>Notario, inscripción, libros y representantes.</w:t>
            </w:r>
          </w:p>
        </w:tc>
        <w:tc>
          <w:tcPr>
            <w:tcW w:type="dxa" w:w="2160"/>
            <w:tcMar>
              <w:top w:w="80" w:type="dxa"/>
              <w:start w:w="120" w:type="dxa"/>
              <w:bottom w:w="80" w:type="dxa"/>
              <w:end w:w="120" w:type="dxa"/>
            </w:tcMar>
            <w:vAlign w:val="center"/>
          </w:tcPr>
          <w:p>
            <w:pPr>
              <w:spacing w:after="40"/>
            </w:pPr>
            <w:r>
              <w:rPr>
                <w:sz w:val="18"/>
              </w:rPr>
              <w:t>Registro/Hacienda.</w:t>
            </w:r>
          </w:p>
        </w:tc>
      </w:tr>
      <w:tr>
        <w:trPr>
          <w:cantSplit/>
        </w:trPr>
        <w:tc>
          <w:tcPr>
            <w:tcW w:type="dxa" w:w="1728"/>
            <w:tcMar>
              <w:top w:w="80" w:type="dxa"/>
              <w:start w:w="120" w:type="dxa"/>
              <w:bottom w:w="80" w:type="dxa"/>
              <w:end w:w="120" w:type="dxa"/>
            </w:tcMar>
            <w:vAlign w:val="center"/>
          </w:tcPr>
          <w:p>
            <w:pPr>
              <w:spacing w:after="40"/>
            </w:pPr>
            <w:r>
              <w:rPr>
                <w:sz w:val="18"/>
              </w:rPr>
              <w:t>Recurrente</w:t>
            </w:r>
          </w:p>
        </w:tc>
        <w:tc>
          <w:tcPr>
            <w:tcW w:type="dxa" w:w="2592"/>
            <w:tcMar>
              <w:top w:w="80" w:type="dxa"/>
              <w:start w:w="120" w:type="dxa"/>
              <w:bottom w:w="80" w:type="dxa"/>
              <w:end w:w="120" w:type="dxa"/>
            </w:tcMar>
            <w:vAlign w:val="center"/>
          </w:tcPr>
          <w:p>
            <w:pPr>
              <w:spacing w:after="40"/>
            </w:pPr>
            <w:r>
              <w:rPr>
                <w:sz w:val="18"/>
              </w:rPr>
              <w:t>Renta, IVA si aplica, comprobantes, CCSS y patente según caso.</w:t>
            </w:r>
          </w:p>
        </w:tc>
        <w:tc>
          <w:tcPr>
            <w:tcW w:type="dxa" w:w="2880"/>
            <w:tcMar>
              <w:top w:w="80" w:type="dxa"/>
              <w:start w:w="120" w:type="dxa"/>
              <w:bottom w:w="80" w:type="dxa"/>
              <w:end w:w="120" w:type="dxa"/>
            </w:tcMar>
            <w:vAlign w:val="center"/>
          </w:tcPr>
          <w:p>
            <w:pPr>
              <w:spacing w:after="40"/>
            </w:pPr>
            <w:r>
              <w:rPr>
                <w:sz w:val="18"/>
              </w:rPr>
              <w:t>Lo anterior + impuesto a personas jurídicas, gobierno y beneficiarios finales según corresponda.</w:t>
            </w:r>
          </w:p>
        </w:tc>
        <w:tc>
          <w:tcPr>
            <w:tcW w:type="dxa" w:w="2160"/>
            <w:tcMar>
              <w:top w:w="80" w:type="dxa"/>
              <w:start w:w="120" w:type="dxa"/>
              <w:bottom w:w="80" w:type="dxa"/>
              <w:end w:w="120" w:type="dxa"/>
            </w:tcMar>
            <w:vAlign w:val="center"/>
          </w:tcPr>
          <w:p>
            <w:pPr>
              <w:spacing w:after="40"/>
            </w:pPr>
            <w:r>
              <w:rPr>
                <w:sz w:val="18"/>
              </w:rPr>
              <w:t>Contador/notario.</w:t>
            </w:r>
          </w:p>
        </w:tc>
      </w:tr>
      <w:tr>
        <w:trPr>
          <w:cantSplit/>
        </w:trPr>
        <w:tc>
          <w:tcPr>
            <w:tcW w:type="dxa" w:w="1728"/>
            <w:tcMar>
              <w:top w:w="80" w:type="dxa"/>
              <w:start w:w="120" w:type="dxa"/>
              <w:bottom w:w="80" w:type="dxa"/>
              <w:end w:w="120" w:type="dxa"/>
            </w:tcMar>
            <w:vAlign w:val="center"/>
          </w:tcPr>
          <w:p>
            <w:pPr>
              <w:spacing w:after="40"/>
            </w:pPr>
            <w:r>
              <w:rPr>
                <w:sz w:val="18"/>
              </w:rPr>
              <w:t>Costos</w:t>
            </w:r>
          </w:p>
        </w:tc>
        <w:tc>
          <w:tcPr>
            <w:tcW w:type="dxa" w:w="2592"/>
            <w:tcMar>
              <w:top w:w="80" w:type="dxa"/>
              <w:start w:w="120" w:type="dxa"/>
              <w:bottom w:w="80" w:type="dxa"/>
              <w:end w:w="120" w:type="dxa"/>
            </w:tcMar>
            <w:vAlign w:val="center"/>
          </w:tcPr>
          <w:p>
            <w:pPr>
              <w:spacing w:after="40"/>
            </w:pPr>
            <w:r>
              <w:rPr>
                <w:sz w:val="18"/>
              </w:rPr>
              <w:t>Menor estructura fija.</w:t>
            </w:r>
          </w:p>
        </w:tc>
        <w:tc>
          <w:tcPr>
            <w:tcW w:type="dxa" w:w="2880"/>
            <w:tcMar>
              <w:top w:w="80" w:type="dxa"/>
              <w:start w:w="120" w:type="dxa"/>
              <w:bottom w:w="80" w:type="dxa"/>
              <w:end w:w="120" w:type="dxa"/>
            </w:tcMar>
            <w:vAlign w:val="center"/>
          </w:tcPr>
          <w:p>
            <w:pPr>
              <w:spacing w:after="40"/>
            </w:pPr>
            <w:r>
              <w:rPr>
                <w:sz w:val="18"/>
              </w:rPr>
              <w:t>Más constitución y mantenimiento.</w:t>
            </w:r>
          </w:p>
        </w:tc>
        <w:tc>
          <w:tcPr>
            <w:tcW w:type="dxa" w:w="2160"/>
            <w:tcMar>
              <w:top w:w="80" w:type="dxa"/>
              <w:start w:w="120" w:type="dxa"/>
              <w:bottom w:w="80" w:type="dxa"/>
              <w:end w:w="120" w:type="dxa"/>
            </w:tcMar>
            <w:vAlign w:val="center"/>
          </w:tcPr>
          <w:p>
            <w:pPr>
              <w:spacing w:after="40"/>
            </w:pPr>
            <w:r>
              <w:rPr>
                <w:sz w:val="18"/>
              </w:rPr>
              <w:t>Cotizaciones.</w:t>
            </w:r>
          </w:p>
        </w:tc>
      </w:tr>
    </w:tbl>
    <w:p>
      <w:pPr>
        <w:spacing w:after="20"/>
      </w:pPr>
    </w:p>
    <w:p>
      <w:pPr>
        <w:pStyle w:val="ListBullet"/>
      </w:pPr>
      <w:r>
        <w:t>Registrar la actividad económica correcta en TRIBU-CR y definir obligaciones antes de recibir ingresos.</w:t>
      </w:r>
    </w:p>
    <w:p>
      <w:pPr>
        <w:pStyle w:val="ListBullet"/>
      </w:pPr>
      <w:r>
        <w:t>Confirmar IVA, impuesto sobre utilidades, remesas/retenciones y tratamiento de clientes extranjeros por cada flujo de ingreso.</w:t>
      </w:r>
    </w:p>
    <w:p>
      <w:pPr>
        <w:pStyle w:val="ListBullet"/>
      </w:pPr>
      <w:r>
        <w:t>Emitir y conservar comprobantes electrónicos en la versión vigente; evaluar TICOFACTURA o proveedor integrado.</w:t>
      </w:r>
    </w:p>
    <w:p>
      <w:pPr>
        <w:pStyle w:val="ListBullet"/>
      </w:pPr>
      <w:r>
        <w:t>Revisar inscripción como trabajador independiente y, si hay personal, obligaciones patronales, póliza y legislación laboral.</w:t>
      </w:r>
    </w:p>
    <w:p>
      <w:pPr>
        <w:pStyle w:val="ListBullet"/>
      </w:pPr>
      <w:r>
        <w:t>Consultar la municipalidad del lugar de operación sobre patente, uso de suelo y cualquier permiso; el resultado depende del cantón y la actividad.</w:t>
      </w:r>
    </w:p>
    <w:p>
      <w:pPr>
        <w:pStyle w:val="ListBullet"/>
      </w:pPr>
      <w:r>
        <w:t>Si se constituye sociedad: libros, impuesto anual, beneficiarios finales, declaraciones, personería y mantenimiento.</w:t>
      </w:r>
    </w:p>
    <w:p>
      <w:pPr>
        <w:pStyle w:val="Heading1"/>
      </w:pPr>
      <w:r>
        <w:t>8. Nombre, marca y activos del proyecto</w:t>
      </w:r>
    </w:p>
    <w:p>
      <w:pPr>
        <w:pStyle w:val="ListBullet"/>
      </w:pPr>
      <w:r>
        <w:t>Buscar antecedentes de marca y nombres comerciales antes de invertir en diseño o dominio.</w:t>
      </w:r>
    </w:p>
    <w:p>
      <w:pPr>
        <w:pStyle w:val="ListBullet"/>
      </w:pPr>
      <w:r>
        <w:t>Registrar dominios y cuentas oficiales con correo controlado por el operador; activar MFA y renovación automática.</w:t>
      </w:r>
    </w:p>
    <w:p>
      <w:pPr>
        <w:pStyle w:val="ListBullet"/>
      </w:pPr>
      <w:r>
        <w:t>Definir titularidad del código, base de datos, traducciones, marca, diseño y documentación.</w:t>
      </w:r>
    </w:p>
    <w:p>
      <w:pPr>
        <w:pStyle w:val="ListBullet"/>
      </w:pPr>
      <w:r>
        <w:t>Usar software, fuentes e imágenes con inventario de licencias y avisos; conservar SBOM y atribuciones.</w:t>
      </w:r>
    </w:p>
    <w:p>
      <w:pPr>
        <w:pStyle w:val="ListBullet"/>
      </w:pPr>
      <w:r>
        <w:t>Evitar que alias suplanten a admin/soporte/marca y filtrar slurs de forma configurable, con cambio forzoso y apelación privada.</w:t>
      </w:r>
    </w:p>
    <w:p>
      <w:pPr>
        <w:pStyle w:val="Heading1"/>
      </w:pPr>
      <w:r>
        <w:t>9. Seguridad, incidentes y evidencia</w:t>
      </w:r>
    </w:p>
    <w:p>
      <w:pPr>
        <w:pStyle w:val="ListBullet"/>
      </w:pPr>
      <w:r>
        <w:t>Aplicar los RNF del proyecto: mínimo privilegio, cifrado, contraseñas no reversibles, cookies seguras, CSRF, CSP, SAST/DAST/SCA y prueba ofensiva.</w:t>
      </w:r>
    </w:p>
    <w:p>
      <w:pPr>
        <w:pStyle w:val="ListBullet"/>
      </w:pPr>
      <w:r>
        <w:t>Crear plan de respuesta a incidentes con responsables, severidad, preservación de evidencia, comunicación, recuperación y revisión posterior.</w:t>
      </w:r>
    </w:p>
    <w:p>
      <w:pPr>
        <w:pStyle w:val="ListBullet"/>
      </w:pPr>
      <w:r>
        <w:t>No registrar letras privadas, contraseñas, tokens, datos de pago ni contenido sensible en telemetría.</w:t>
      </w:r>
    </w:p>
    <w:p>
      <w:pPr>
        <w:pStyle w:val="ListBullet"/>
      </w:pPr>
      <w:r>
        <w:t>Mantener auditoría append-only de accesos privilegiados, derechos, publicación, corrección y eliminación.</w:t>
      </w:r>
    </w:p>
    <w:p>
      <w:pPr>
        <w:pStyle w:val="ListBullet"/>
      </w:pPr>
      <w:r>
        <w:t>Contratar procesador compatible con PCI; el sitio nunca debe almacenar números completos de tarjeta ni códigos de seguridad.</w:t>
      </w:r>
    </w:p>
    <w:p>
      <w:pPr>
        <w:pStyle w:val="Heading1"/>
      </w:pPr>
      <w:r>
        <w:t>10. Contenido generado por usuarios y moderación</w:t>
      </w:r>
    </w:p>
    <w:p>
      <w:r>
        <w:t>La decisión de excluir foros, comentarios y mensajería del MVP reduce significativamente el riesgo. Debe conservarse como restricción de alcance. Los formularios privados todavía requieren antispam, reglas de uso, reporte, control de acceso y retención.</w:t>
      </w:r>
    </w:p>
    <w:tbl>
      <w:tblPr>
        <w:tblStyle w:val="TableGrid"/>
        <w:tblW w:type="dxa" w:w="9360"/>
        <w:jc w:val="center"/>
        <w:tblLayout w:type="fixed"/>
        <w:tblLook w:firstColumn="1" w:firstRow="1" w:lastColumn="0" w:lastRow="0" w:noHBand="0" w:noVBand="1" w:val="04A0"/>
        <w:tblInd w:w="120" w:type="dxa"/>
      </w:tblPr>
      <w:tblGrid>
        <w:gridCol w:w="2304"/>
        <w:gridCol w:w="2376"/>
        <w:gridCol w:w="4680"/>
      </w:tblGrid>
      <w:tr>
        <w:trPr>
          <w:tblHeader/>
          <w:cantSplit/>
        </w:trPr>
        <w:tc>
          <w:tcPr>
            <w:tcW w:type="dxa" w:w="2304"/>
            <w:shd w:fill="E8EEF5"/>
            <w:tcMar>
              <w:top w:w="80" w:type="dxa"/>
              <w:start w:w="120" w:type="dxa"/>
              <w:bottom w:w="80" w:type="dxa"/>
              <w:end w:w="120" w:type="dxa"/>
            </w:tcMar>
            <w:vAlign w:val="center"/>
          </w:tcPr>
          <w:p>
            <w:r>
              <w:rPr>
                <w:b/>
              </w:rPr>
              <w:t>Función</w:t>
            </w:r>
          </w:p>
        </w:tc>
        <w:tc>
          <w:tcPr>
            <w:tcW w:type="dxa" w:w="2376"/>
            <w:shd w:fill="E8EEF5"/>
            <w:tcMar>
              <w:top w:w="80" w:type="dxa"/>
              <w:start w:w="120" w:type="dxa"/>
              <w:bottom w:w="80" w:type="dxa"/>
              <w:end w:w="120" w:type="dxa"/>
            </w:tcMar>
            <w:vAlign w:val="center"/>
          </w:tcPr>
          <w:p>
            <w:r>
              <w:rPr>
                <w:b/>
              </w:rPr>
              <w:t>Decisión inicial</w:t>
            </w:r>
          </w:p>
        </w:tc>
        <w:tc>
          <w:tcPr>
            <w:tcW w:type="dxa" w:w="4680"/>
            <w:shd w:fill="E8EEF5"/>
            <w:tcMar>
              <w:top w:w="80" w:type="dxa"/>
              <w:start w:w="120" w:type="dxa"/>
              <w:bottom w:w="80" w:type="dxa"/>
              <w:end w:w="120" w:type="dxa"/>
            </w:tcMar>
            <w:vAlign w:val="center"/>
          </w:tcPr>
          <w:p>
            <w:r>
              <w:rPr>
                <w:b/>
              </w:rPr>
              <w:t>Control</w:t>
            </w:r>
          </w:p>
        </w:tc>
      </w:tr>
      <w:tr>
        <w:trPr>
          <w:cantSplit/>
        </w:trPr>
        <w:tc>
          <w:tcPr>
            <w:tcW w:type="dxa" w:w="2304"/>
            <w:tcMar>
              <w:top w:w="80" w:type="dxa"/>
              <w:start w:w="120" w:type="dxa"/>
              <w:bottom w:w="80" w:type="dxa"/>
              <w:end w:w="120" w:type="dxa"/>
            </w:tcMar>
            <w:vAlign w:val="center"/>
          </w:tcPr>
          <w:p>
            <w:pPr>
              <w:spacing w:after="40"/>
            </w:pPr>
            <w:r>
              <w:rPr>
                <w:sz w:val="20"/>
              </w:rPr>
              <w:t>Comentarios/foro/mensajes</w:t>
            </w:r>
          </w:p>
        </w:tc>
        <w:tc>
          <w:tcPr>
            <w:tcW w:type="dxa" w:w="2376"/>
            <w:tcMar>
              <w:top w:w="80" w:type="dxa"/>
              <w:start w:w="120" w:type="dxa"/>
              <w:bottom w:w="80" w:type="dxa"/>
              <w:end w:w="120" w:type="dxa"/>
            </w:tcMar>
            <w:vAlign w:val="center"/>
          </w:tcPr>
          <w:p>
            <w:pPr>
              <w:spacing w:after="40"/>
            </w:pPr>
            <w:r>
              <w:rPr>
                <w:sz w:val="20"/>
              </w:rPr>
              <w:t>No implementar</w:t>
            </w:r>
          </w:p>
        </w:tc>
        <w:tc>
          <w:tcPr>
            <w:tcW w:type="dxa" w:w="4680"/>
            <w:tcMar>
              <w:top w:w="80" w:type="dxa"/>
              <w:start w:w="120" w:type="dxa"/>
              <w:bottom w:w="80" w:type="dxa"/>
              <w:end w:w="120" w:type="dxa"/>
            </w:tcMar>
            <w:vAlign w:val="center"/>
          </w:tcPr>
          <w:p>
            <w:pPr>
              <w:spacing w:after="40"/>
            </w:pPr>
            <w:r>
              <w:rPr>
                <w:sz w:val="20"/>
              </w:rPr>
              <w:t>Reevaluación legal, de seguridad y presupuesto antes de cualquier cambio.</w:t>
            </w:r>
          </w:p>
        </w:tc>
      </w:tr>
      <w:tr>
        <w:trPr>
          <w:cantSplit/>
        </w:trPr>
        <w:tc>
          <w:tcPr>
            <w:tcW w:type="dxa" w:w="2304"/>
            <w:tcMar>
              <w:top w:w="80" w:type="dxa"/>
              <w:start w:w="120" w:type="dxa"/>
              <w:bottom w:w="80" w:type="dxa"/>
              <w:end w:w="120" w:type="dxa"/>
            </w:tcMar>
            <w:vAlign w:val="center"/>
          </w:tcPr>
          <w:p>
            <w:pPr>
              <w:spacing w:after="40"/>
            </w:pPr>
            <w:r>
              <w:rPr>
                <w:sz w:val="20"/>
              </w:rPr>
              <w:t>Alias</w:t>
            </w:r>
          </w:p>
        </w:tc>
        <w:tc>
          <w:tcPr>
            <w:tcW w:type="dxa" w:w="2376"/>
            <w:tcMar>
              <w:top w:w="80" w:type="dxa"/>
              <w:start w:w="120" w:type="dxa"/>
              <w:bottom w:w="80" w:type="dxa"/>
              <w:end w:w="120" w:type="dxa"/>
            </w:tcMar>
            <w:vAlign w:val="center"/>
          </w:tcPr>
          <w:p>
            <w:pPr>
              <w:spacing w:after="40"/>
            </w:pPr>
            <w:r>
              <w:rPr>
                <w:sz w:val="20"/>
              </w:rPr>
              <w:t>Permitido con visibilidad limitada</w:t>
            </w:r>
          </w:p>
        </w:tc>
        <w:tc>
          <w:tcPr>
            <w:tcW w:type="dxa" w:w="4680"/>
            <w:tcMar>
              <w:top w:w="80" w:type="dxa"/>
              <w:start w:w="120" w:type="dxa"/>
              <w:bottom w:w="80" w:type="dxa"/>
              <w:end w:w="120" w:type="dxa"/>
            </w:tcMar>
            <w:vAlign w:val="center"/>
          </w:tcPr>
          <w:p>
            <w:pPr>
              <w:spacing w:after="40"/>
            </w:pPr>
            <w:r>
              <w:rPr>
                <w:sz w:val="20"/>
              </w:rPr>
              <w:t>Normalización, slurs, nombres reservados, cambio forzoso y apelación.</w:t>
            </w:r>
          </w:p>
        </w:tc>
      </w:tr>
      <w:tr>
        <w:trPr>
          <w:cantSplit/>
        </w:trPr>
        <w:tc>
          <w:tcPr>
            <w:tcW w:type="dxa" w:w="2304"/>
            <w:tcMar>
              <w:top w:w="80" w:type="dxa"/>
              <w:start w:w="120" w:type="dxa"/>
              <w:bottom w:w="80" w:type="dxa"/>
              <w:end w:w="120" w:type="dxa"/>
            </w:tcMar>
            <w:vAlign w:val="center"/>
          </w:tcPr>
          <w:p>
            <w:pPr>
              <w:spacing w:after="40"/>
            </w:pPr>
            <w:r>
              <w:rPr>
                <w:sz w:val="20"/>
              </w:rPr>
              <w:t>Correcciones</w:t>
            </w:r>
          </w:p>
        </w:tc>
        <w:tc>
          <w:tcPr>
            <w:tcW w:type="dxa" w:w="2376"/>
            <w:tcMar>
              <w:top w:w="80" w:type="dxa"/>
              <w:start w:w="120" w:type="dxa"/>
              <w:bottom w:w="80" w:type="dxa"/>
              <w:end w:w="120" w:type="dxa"/>
            </w:tcMar>
            <w:vAlign w:val="center"/>
          </w:tcPr>
          <w:p>
            <w:pPr>
              <w:spacing w:after="40"/>
            </w:pPr>
            <w:r>
              <w:rPr>
                <w:sz w:val="20"/>
              </w:rPr>
              <w:t>Formulario privado</w:t>
            </w:r>
          </w:p>
        </w:tc>
        <w:tc>
          <w:tcPr>
            <w:tcW w:type="dxa" w:w="4680"/>
            <w:tcMar>
              <w:top w:w="80" w:type="dxa"/>
              <w:start w:w="120" w:type="dxa"/>
              <w:bottom w:w="80" w:type="dxa"/>
              <w:end w:w="120" w:type="dxa"/>
            </w:tcMar>
            <w:vAlign w:val="center"/>
          </w:tcPr>
          <w:p>
            <w:pPr>
              <w:spacing w:after="40"/>
            </w:pPr>
            <w:r>
              <w:rPr>
                <w:sz w:val="20"/>
              </w:rPr>
              <w:t>Cola, archivos restringidos, trazabilidad y respuesta.</w:t>
            </w:r>
          </w:p>
        </w:tc>
      </w:tr>
      <w:tr>
        <w:trPr>
          <w:cantSplit/>
        </w:trPr>
        <w:tc>
          <w:tcPr>
            <w:tcW w:type="dxa" w:w="2304"/>
            <w:tcMar>
              <w:top w:w="80" w:type="dxa"/>
              <w:start w:w="120" w:type="dxa"/>
              <w:bottom w:w="80" w:type="dxa"/>
              <w:end w:w="120" w:type="dxa"/>
            </w:tcMar>
            <w:vAlign w:val="center"/>
          </w:tcPr>
          <w:p>
            <w:pPr>
              <w:spacing w:after="40"/>
            </w:pPr>
            <w:r>
              <w:rPr>
                <w:sz w:val="20"/>
              </w:rPr>
              <w:t>Solicitudes de canciones</w:t>
            </w:r>
          </w:p>
        </w:tc>
        <w:tc>
          <w:tcPr>
            <w:tcW w:type="dxa" w:w="2376"/>
            <w:tcMar>
              <w:top w:w="80" w:type="dxa"/>
              <w:start w:w="120" w:type="dxa"/>
              <w:bottom w:w="80" w:type="dxa"/>
              <w:end w:w="120" w:type="dxa"/>
            </w:tcMar>
            <w:vAlign w:val="center"/>
          </w:tcPr>
          <w:p>
            <w:pPr>
              <w:spacing w:after="40"/>
            </w:pPr>
            <w:r>
              <w:rPr>
                <w:sz w:val="20"/>
              </w:rPr>
              <w:t>Formulario privado</w:t>
            </w:r>
          </w:p>
        </w:tc>
        <w:tc>
          <w:tcPr>
            <w:tcW w:type="dxa" w:w="4680"/>
            <w:tcMar>
              <w:top w:w="80" w:type="dxa"/>
              <w:start w:w="120" w:type="dxa"/>
              <w:bottom w:w="80" w:type="dxa"/>
              <w:end w:w="120" w:type="dxa"/>
            </w:tcMar>
            <w:vAlign w:val="center"/>
          </w:tcPr>
          <w:p>
            <w:pPr>
              <w:spacing w:after="40"/>
            </w:pPr>
            <w:r>
              <w:rPr>
                <w:sz w:val="20"/>
              </w:rPr>
              <w:t>No prometer publicación; revisar derechos antes de adquirir contenido.</w:t>
            </w:r>
          </w:p>
        </w:tc>
      </w:tr>
      <w:tr>
        <w:trPr>
          <w:cantSplit/>
        </w:trPr>
        <w:tc>
          <w:tcPr>
            <w:tcW w:type="dxa" w:w="2304"/>
            <w:tcMar>
              <w:top w:w="80" w:type="dxa"/>
              <w:start w:w="120" w:type="dxa"/>
              <w:bottom w:w="80" w:type="dxa"/>
              <w:end w:w="120" w:type="dxa"/>
            </w:tcMar>
            <w:vAlign w:val="center"/>
          </w:tcPr>
          <w:p>
            <w:pPr>
              <w:spacing w:after="40"/>
            </w:pPr>
            <w:r>
              <w:rPr>
                <w:sz w:val="20"/>
              </w:rPr>
              <w:t>Valoración útil/no útil</w:t>
            </w:r>
          </w:p>
        </w:tc>
        <w:tc>
          <w:tcPr>
            <w:tcW w:type="dxa" w:w="2376"/>
            <w:tcMar>
              <w:top w:w="80" w:type="dxa"/>
              <w:start w:w="120" w:type="dxa"/>
              <w:bottom w:w="80" w:type="dxa"/>
              <w:end w:w="120" w:type="dxa"/>
            </w:tcMar>
            <w:vAlign w:val="center"/>
          </w:tcPr>
          <w:p>
            <w:pPr>
              <w:spacing w:after="40"/>
            </w:pPr>
            <w:r>
              <w:rPr>
                <w:sz w:val="20"/>
              </w:rPr>
              <w:t>Opción cerrada</w:t>
            </w:r>
          </w:p>
        </w:tc>
        <w:tc>
          <w:tcPr>
            <w:tcW w:type="dxa" w:w="4680"/>
            <w:tcMar>
              <w:top w:w="80" w:type="dxa"/>
              <w:start w:w="120" w:type="dxa"/>
              <w:bottom w:w="80" w:type="dxa"/>
              <w:end w:w="120" w:type="dxa"/>
            </w:tcMar>
            <w:vAlign w:val="center"/>
          </w:tcPr>
          <w:p>
            <w:pPr>
              <w:spacing w:after="40"/>
            </w:pPr>
            <w:r>
              <w:rPr>
                <w:sz w:val="20"/>
              </w:rPr>
              <w:t>Antifraude y privacidad; sin texto libre.</w:t>
            </w:r>
          </w:p>
        </w:tc>
      </w:tr>
    </w:tbl>
    <w:p>
      <w:pPr>
        <w:spacing w:after="20"/>
      </w:pPr>
    </w:p>
    <w:p>
      <w:pPr>
        <w:pStyle w:val="Heading1"/>
      </w:pPr>
      <w:r>
        <w:t>11. Documentos y contratos a preparar</w:t>
      </w:r>
    </w:p>
    <w:tbl>
      <w:tblPr>
        <w:tblStyle w:val="TableGrid"/>
        <w:tblW w:type="dxa" w:w="9360"/>
        <w:jc w:val="center"/>
        <w:tblLayout w:type="fixed"/>
        <w:tblLook w:firstColumn="1" w:firstRow="1" w:lastColumn="0" w:lastRow="0" w:noHBand="0" w:noVBand="1" w:val="04A0"/>
        <w:tblInd w:w="120" w:type="dxa"/>
      </w:tblPr>
      <w:tblGrid>
        <w:gridCol w:w="4896"/>
        <w:gridCol w:w="2015"/>
        <w:gridCol w:w="2448"/>
      </w:tblGrid>
      <w:tr>
        <w:trPr>
          <w:tblHeader/>
          <w:cantSplit/>
        </w:trPr>
        <w:tc>
          <w:tcPr>
            <w:tcW w:type="dxa" w:w="4896"/>
            <w:shd w:fill="E8EEF5"/>
            <w:tcMar>
              <w:top w:w="80" w:type="dxa"/>
              <w:start w:w="120" w:type="dxa"/>
              <w:bottom w:w="80" w:type="dxa"/>
              <w:end w:w="120" w:type="dxa"/>
            </w:tcMar>
            <w:vAlign w:val="center"/>
          </w:tcPr>
          <w:p>
            <w:r>
              <w:rPr>
                <w:b/>
              </w:rPr>
              <w:t>Documento</w:t>
            </w:r>
          </w:p>
        </w:tc>
        <w:tc>
          <w:tcPr>
            <w:tcW w:type="dxa" w:w="2015"/>
            <w:shd w:fill="E8EEF5"/>
            <w:tcMar>
              <w:top w:w="80" w:type="dxa"/>
              <w:start w:w="120" w:type="dxa"/>
              <w:bottom w:w="80" w:type="dxa"/>
              <w:end w:w="120" w:type="dxa"/>
            </w:tcMar>
            <w:vAlign w:val="center"/>
          </w:tcPr>
          <w:p>
            <w:r>
              <w:rPr>
                <w:b/>
              </w:rPr>
              <w:t>Momento</w:t>
            </w:r>
          </w:p>
        </w:tc>
        <w:tc>
          <w:tcPr>
            <w:tcW w:type="dxa" w:w="2448"/>
            <w:shd w:fill="E8EEF5"/>
            <w:tcMar>
              <w:top w:w="80" w:type="dxa"/>
              <w:start w:w="120" w:type="dxa"/>
              <w:bottom w:w="80" w:type="dxa"/>
              <w:end w:w="120" w:type="dxa"/>
            </w:tcMar>
            <w:vAlign w:val="center"/>
          </w:tcPr>
          <w:p>
            <w:r>
              <w:rPr>
                <w:b/>
              </w:rPr>
              <w:t>Responsable</w:t>
            </w:r>
          </w:p>
        </w:tc>
      </w:tr>
      <w:tr>
        <w:trPr>
          <w:cantSplit/>
        </w:trPr>
        <w:tc>
          <w:tcPr>
            <w:tcW w:type="dxa" w:w="4896"/>
            <w:tcMar>
              <w:top w:w="80" w:type="dxa"/>
              <w:start w:w="120" w:type="dxa"/>
              <w:bottom w:w="80" w:type="dxa"/>
              <w:end w:w="120" w:type="dxa"/>
            </w:tcMar>
            <w:vAlign w:val="center"/>
          </w:tcPr>
          <w:p>
            <w:pPr>
              <w:spacing w:after="40"/>
            </w:pPr>
            <w:r>
              <w:rPr>
                <w:sz w:val="18"/>
              </w:rPr>
              <w:t>Opinión/licencia de derechos por repertorio</w:t>
            </w:r>
          </w:p>
        </w:tc>
        <w:tc>
          <w:tcPr>
            <w:tcW w:type="dxa" w:w="2015"/>
            <w:tcMar>
              <w:top w:w="80" w:type="dxa"/>
              <w:start w:w="120" w:type="dxa"/>
              <w:bottom w:w="80" w:type="dxa"/>
              <w:end w:w="120" w:type="dxa"/>
            </w:tcMar>
            <w:vAlign w:val="center"/>
          </w:tcPr>
          <w:p>
            <w:pPr>
              <w:spacing w:after="40"/>
            </w:pPr>
            <w:r>
              <w:rPr>
                <w:sz w:val="18"/>
              </w:rPr>
              <w:t>Antes de cargar contenido público</w:t>
            </w:r>
          </w:p>
        </w:tc>
        <w:tc>
          <w:tcPr>
            <w:tcW w:type="dxa" w:w="2448"/>
            <w:tcMar>
              <w:top w:w="80" w:type="dxa"/>
              <w:start w:w="120" w:type="dxa"/>
              <w:bottom w:w="80" w:type="dxa"/>
              <w:end w:w="120" w:type="dxa"/>
            </w:tcMar>
            <w:vAlign w:val="center"/>
          </w:tcPr>
          <w:p>
            <w:pPr>
              <w:spacing w:after="40"/>
            </w:pPr>
            <w:r>
              <w:rPr>
                <w:sz w:val="18"/>
              </w:rPr>
              <w:t>Abogado de propiedad intelectual</w:t>
            </w:r>
          </w:p>
        </w:tc>
      </w:tr>
      <w:tr>
        <w:trPr>
          <w:cantSplit/>
        </w:trPr>
        <w:tc>
          <w:tcPr>
            <w:tcW w:type="dxa" w:w="4896"/>
            <w:tcMar>
              <w:top w:w="80" w:type="dxa"/>
              <w:start w:w="120" w:type="dxa"/>
              <w:bottom w:w="80" w:type="dxa"/>
              <w:end w:w="120" w:type="dxa"/>
            </w:tcMar>
            <w:vAlign w:val="center"/>
          </w:tcPr>
          <w:p>
            <w:pPr>
              <w:spacing w:after="40"/>
            </w:pPr>
            <w:r>
              <w:rPr>
                <w:sz w:val="18"/>
              </w:rPr>
              <w:t>Términos de uso</w:t>
            </w:r>
          </w:p>
        </w:tc>
        <w:tc>
          <w:tcPr>
            <w:tcW w:type="dxa" w:w="2015"/>
            <w:tcMar>
              <w:top w:w="80" w:type="dxa"/>
              <w:start w:w="120" w:type="dxa"/>
              <w:bottom w:w="80" w:type="dxa"/>
              <w:end w:w="120" w:type="dxa"/>
            </w:tcMar>
            <w:vAlign w:val="center"/>
          </w:tcPr>
          <w:p>
            <w:pPr>
              <w:spacing w:after="40"/>
            </w:pPr>
            <w:r>
              <w:rPr>
                <w:sz w:val="18"/>
              </w:rPr>
              <w:t>Antes del registro</w:t>
            </w:r>
          </w:p>
        </w:tc>
        <w:tc>
          <w:tcPr>
            <w:tcW w:type="dxa" w:w="2448"/>
            <w:tcMar>
              <w:top w:w="80" w:type="dxa"/>
              <w:start w:w="120" w:type="dxa"/>
              <w:bottom w:w="80" w:type="dxa"/>
              <w:end w:w="120" w:type="dxa"/>
            </w:tcMar>
            <w:vAlign w:val="center"/>
          </w:tcPr>
          <w:p>
            <w:pPr>
              <w:spacing w:after="40"/>
            </w:pPr>
            <w:r>
              <w:rPr>
                <w:sz w:val="18"/>
              </w:rPr>
              <w:t>Abogado + producto</w:t>
            </w:r>
          </w:p>
        </w:tc>
      </w:tr>
      <w:tr>
        <w:trPr>
          <w:cantSplit/>
        </w:trPr>
        <w:tc>
          <w:tcPr>
            <w:tcW w:type="dxa" w:w="4896"/>
            <w:tcMar>
              <w:top w:w="80" w:type="dxa"/>
              <w:start w:w="120" w:type="dxa"/>
              <w:bottom w:w="80" w:type="dxa"/>
              <w:end w:w="120" w:type="dxa"/>
            </w:tcMar>
            <w:vAlign w:val="center"/>
          </w:tcPr>
          <w:p>
            <w:pPr>
              <w:spacing w:after="40"/>
            </w:pPr>
            <w:r>
              <w:rPr>
                <w:sz w:val="18"/>
              </w:rPr>
              <w:t>Política y avisos de privacidad/cookies</w:t>
            </w:r>
          </w:p>
        </w:tc>
        <w:tc>
          <w:tcPr>
            <w:tcW w:type="dxa" w:w="2015"/>
            <w:tcMar>
              <w:top w:w="80" w:type="dxa"/>
              <w:start w:w="120" w:type="dxa"/>
              <w:bottom w:w="80" w:type="dxa"/>
              <w:end w:w="120" w:type="dxa"/>
            </w:tcMar>
            <w:vAlign w:val="center"/>
          </w:tcPr>
          <w:p>
            <w:pPr>
              <w:spacing w:after="40"/>
            </w:pPr>
            <w:r>
              <w:rPr>
                <w:sz w:val="18"/>
              </w:rPr>
              <w:t>Antes de recopilar datos</w:t>
            </w:r>
          </w:p>
        </w:tc>
        <w:tc>
          <w:tcPr>
            <w:tcW w:type="dxa" w:w="2448"/>
            <w:tcMar>
              <w:top w:w="80" w:type="dxa"/>
              <w:start w:w="120" w:type="dxa"/>
              <w:bottom w:w="80" w:type="dxa"/>
              <w:end w:w="120" w:type="dxa"/>
            </w:tcMar>
            <w:vAlign w:val="center"/>
          </w:tcPr>
          <w:p>
            <w:pPr>
              <w:spacing w:after="40"/>
            </w:pPr>
            <w:r>
              <w:rPr>
                <w:sz w:val="18"/>
              </w:rPr>
              <w:t>Privacidad + abogado</w:t>
            </w:r>
          </w:p>
        </w:tc>
      </w:tr>
      <w:tr>
        <w:trPr>
          <w:cantSplit/>
        </w:trPr>
        <w:tc>
          <w:tcPr>
            <w:tcW w:type="dxa" w:w="4896"/>
            <w:tcMar>
              <w:top w:w="80" w:type="dxa"/>
              <w:start w:w="120" w:type="dxa"/>
              <w:bottom w:w="80" w:type="dxa"/>
              <w:end w:w="120" w:type="dxa"/>
            </w:tcMar>
            <w:vAlign w:val="center"/>
          </w:tcPr>
          <w:p>
            <w:pPr>
              <w:spacing w:after="40"/>
            </w:pPr>
            <w:r>
              <w:rPr>
                <w:sz w:val="18"/>
              </w:rPr>
              <w:t>Contrato/DPA con proveedores</w:t>
            </w:r>
          </w:p>
        </w:tc>
        <w:tc>
          <w:tcPr>
            <w:tcW w:type="dxa" w:w="2015"/>
            <w:tcMar>
              <w:top w:w="80" w:type="dxa"/>
              <w:start w:w="120" w:type="dxa"/>
              <w:bottom w:w="80" w:type="dxa"/>
              <w:end w:w="120" w:type="dxa"/>
            </w:tcMar>
            <w:vAlign w:val="center"/>
          </w:tcPr>
          <w:p>
            <w:pPr>
              <w:spacing w:after="40"/>
            </w:pPr>
            <w:r>
              <w:rPr>
                <w:sz w:val="18"/>
              </w:rPr>
              <w:t>Antes de enviar datos</w:t>
            </w:r>
          </w:p>
        </w:tc>
        <w:tc>
          <w:tcPr>
            <w:tcW w:type="dxa" w:w="2448"/>
            <w:tcMar>
              <w:top w:w="80" w:type="dxa"/>
              <w:start w:w="120" w:type="dxa"/>
              <w:bottom w:w="80" w:type="dxa"/>
              <w:end w:w="120" w:type="dxa"/>
            </w:tcMar>
            <w:vAlign w:val="center"/>
          </w:tcPr>
          <w:p>
            <w:pPr>
              <w:spacing w:after="40"/>
            </w:pPr>
            <w:r>
              <w:rPr>
                <w:sz w:val="18"/>
              </w:rPr>
              <w:t>Operación + abogado</w:t>
            </w:r>
          </w:p>
        </w:tc>
      </w:tr>
      <w:tr>
        <w:trPr>
          <w:cantSplit/>
        </w:trPr>
        <w:tc>
          <w:tcPr>
            <w:tcW w:type="dxa" w:w="4896"/>
            <w:tcMar>
              <w:top w:w="80" w:type="dxa"/>
              <w:start w:w="120" w:type="dxa"/>
              <w:bottom w:w="80" w:type="dxa"/>
              <w:end w:w="120" w:type="dxa"/>
            </w:tcMar>
            <w:vAlign w:val="center"/>
          </w:tcPr>
          <w:p>
            <w:pPr>
              <w:spacing w:after="40"/>
            </w:pPr>
            <w:r>
              <w:rPr>
                <w:sz w:val="18"/>
              </w:rPr>
              <w:t>Condiciones de suscripción, cancelación y reembolso</w:t>
            </w:r>
          </w:p>
        </w:tc>
        <w:tc>
          <w:tcPr>
            <w:tcW w:type="dxa" w:w="2015"/>
            <w:tcMar>
              <w:top w:w="80" w:type="dxa"/>
              <w:start w:w="120" w:type="dxa"/>
              <w:bottom w:w="80" w:type="dxa"/>
              <w:end w:w="120" w:type="dxa"/>
            </w:tcMar>
            <w:vAlign w:val="center"/>
          </w:tcPr>
          <w:p>
            <w:pPr>
              <w:spacing w:after="40"/>
            </w:pPr>
            <w:r>
              <w:rPr>
                <w:sz w:val="18"/>
              </w:rPr>
              <w:t>Antes de cobrar</w:t>
            </w:r>
          </w:p>
        </w:tc>
        <w:tc>
          <w:tcPr>
            <w:tcW w:type="dxa" w:w="2448"/>
            <w:tcMar>
              <w:top w:w="80" w:type="dxa"/>
              <w:start w:w="120" w:type="dxa"/>
              <w:bottom w:w="80" w:type="dxa"/>
              <w:end w:w="120" w:type="dxa"/>
            </w:tcMar>
            <w:vAlign w:val="center"/>
          </w:tcPr>
          <w:p>
            <w:pPr>
              <w:spacing w:after="40"/>
            </w:pPr>
            <w:r>
              <w:rPr>
                <w:sz w:val="18"/>
              </w:rPr>
              <w:t>Abogado + contador + producto</w:t>
            </w:r>
          </w:p>
        </w:tc>
      </w:tr>
      <w:tr>
        <w:trPr>
          <w:cantSplit/>
        </w:trPr>
        <w:tc>
          <w:tcPr>
            <w:tcW w:type="dxa" w:w="4896"/>
            <w:tcMar>
              <w:top w:w="80" w:type="dxa"/>
              <w:start w:w="120" w:type="dxa"/>
              <w:bottom w:w="80" w:type="dxa"/>
              <w:end w:w="120" w:type="dxa"/>
            </w:tcMar>
            <w:vAlign w:val="center"/>
          </w:tcPr>
          <w:p>
            <w:pPr>
              <w:spacing w:after="40"/>
            </w:pPr>
            <w:r>
              <w:rPr>
                <w:sz w:val="18"/>
              </w:rPr>
              <w:t>Contrato con traductores y colaboradores</w:t>
            </w:r>
          </w:p>
        </w:tc>
        <w:tc>
          <w:tcPr>
            <w:tcW w:type="dxa" w:w="2015"/>
            <w:tcMar>
              <w:top w:w="80" w:type="dxa"/>
              <w:start w:w="120" w:type="dxa"/>
              <w:bottom w:w="80" w:type="dxa"/>
              <w:end w:w="120" w:type="dxa"/>
            </w:tcMar>
            <w:vAlign w:val="center"/>
          </w:tcPr>
          <w:p>
            <w:pPr>
              <w:spacing w:after="40"/>
            </w:pPr>
            <w:r>
              <w:rPr>
                <w:sz w:val="18"/>
              </w:rPr>
              <w:t>Antes de recibir entregables</w:t>
            </w:r>
          </w:p>
        </w:tc>
        <w:tc>
          <w:tcPr>
            <w:tcW w:type="dxa" w:w="2448"/>
            <w:tcMar>
              <w:top w:w="80" w:type="dxa"/>
              <w:start w:w="120" w:type="dxa"/>
              <w:bottom w:w="80" w:type="dxa"/>
              <w:end w:w="120" w:type="dxa"/>
            </w:tcMar>
            <w:vAlign w:val="center"/>
          </w:tcPr>
          <w:p>
            <w:pPr>
              <w:spacing w:after="40"/>
            </w:pPr>
            <w:r>
              <w:rPr>
                <w:sz w:val="18"/>
              </w:rPr>
              <w:t>Abogado</w:t>
            </w:r>
          </w:p>
        </w:tc>
      </w:tr>
      <w:tr>
        <w:trPr>
          <w:cantSplit/>
        </w:trPr>
        <w:tc>
          <w:tcPr>
            <w:tcW w:type="dxa" w:w="4896"/>
            <w:tcMar>
              <w:top w:w="80" w:type="dxa"/>
              <w:start w:w="120" w:type="dxa"/>
              <w:bottom w:w="80" w:type="dxa"/>
              <w:end w:w="120" w:type="dxa"/>
            </w:tcMar>
            <w:vAlign w:val="center"/>
          </w:tcPr>
          <w:p>
            <w:pPr>
              <w:spacing w:after="40"/>
            </w:pPr>
            <w:r>
              <w:rPr>
                <w:sz w:val="18"/>
              </w:rPr>
              <w:t>Política interna de publicación y retiro</w:t>
            </w:r>
          </w:p>
        </w:tc>
        <w:tc>
          <w:tcPr>
            <w:tcW w:type="dxa" w:w="2015"/>
            <w:tcMar>
              <w:top w:w="80" w:type="dxa"/>
              <w:start w:w="120" w:type="dxa"/>
              <w:bottom w:w="80" w:type="dxa"/>
              <w:end w:w="120" w:type="dxa"/>
            </w:tcMar>
            <w:vAlign w:val="center"/>
          </w:tcPr>
          <w:p>
            <w:pPr>
              <w:spacing w:after="40"/>
            </w:pPr>
            <w:r>
              <w:rPr>
                <w:sz w:val="18"/>
              </w:rPr>
              <w:t>Antes de publicar</w:t>
            </w:r>
          </w:p>
        </w:tc>
        <w:tc>
          <w:tcPr>
            <w:tcW w:type="dxa" w:w="2448"/>
            <w:tcMar>
              <w:top w:w="80" w:type="dxa"/>
              <w:start w:w="120" w:type="dxa"/>
              <w:bottom w:w="80" w:type="dxa"/>
              <w:end w:w="120" w:type="dxa"/>
            </w:tcMar>
            <w:vAlign w:val="center"/>
          </w:tcPr>
          <w:p>
            <w:pPr>
              <w:spacing w:after="40"/>
            </w:pPr>
            <w:r>
              <w:rPr>
                <w:sz w:val="18"/>
              </w:rPr>
              <w:t>Editorial + legal</w:t>
            </w:r>
          </w:p>
        </w:tc>
      </w:tr>
      <w:tr>
        <w:trPr>
          <w:cantSplit/>
        </w:trPr>
        <w:tc>
          <w:tcPr>
            <w:tcW w:type="dxa" w:w="4896"/>
            <w:tcMar>
              <w:top w:w="80" w:type="dxa"/>
              <w:start w:w="120" w:type="dxa"/>
              <w:bottom w:w="80" w:type="dxa"/>
              <w:end w:w="120" w:type="dxa"/>
            </w:tcMar>
            <w:vAlign w:val="center"/>
          </w:tcPr>
          <w:p>
            <w:pPr>
              <w:spacing w:after="40"/>
            </w:pPr>
            <w:r>
              <w:rPr>
                <w:sz w:val="18"/>
              </w:rPr>
              <w:t>Plan de incidentes y continuidad</w:t>
            </w:r>
          </w:p>
        </w:tc>
        <w:tc>
          <w:tcPr>
            <w:tcW w:type="dxa" w:w="2015"/>
            <w:tcMar>
              <w:top w:w="80" w:type="dxa"/>
              <w:start w:w="120" w:type="dxa"/>
              <w:bottom w:w="80" w:type="dxa"/>
              <w:end w:w="120" w:type="dxa"/>
            </w:tcMar>
            <w:vAlign w:val="center"/>
          </w:tcPr>
          <w:p>
            <w:pPr>
              <w:spacing w:after="40"/>
            </w:pPr>
            <w:r>
              <w:rPr>
                <w:sz w:val="18"/>
              </w:rPr>
              <w:t>Antes de producción</w:t>
            </w:r>
          </w:p>
        </w:tc>
        <w:tc>
          <w:tcPr>
            <w:tcW w:type="dxa" w:w="2448"/>
            <w:tcMar>
              <w:top w:w="80" w:type="dxa"/>
              <w:start w:w="120" w:type="dxa"/>
              <w:bottom w:w="80" w:type="dxa"/>
              <w:end w:w="120" w:type="dxa"/>
            </w:tcMar>
            <w:vAlign w:val="center"/>
          </w:tcPr>
          <w:p>
            <w:pPr>
              <w:spacing w:after="40"/>
            </w:pPr>
            <w:r>
              <w:rPr>
                <w:sz w:val="18"/>
              </w:rPr>
              <w:t>Seguridad + operación</w:t>
            </w:r>
          </w:p>
        </w:tc>
      </w:tr>
      <w:tr>
        <w:trPr>
          <w:cantSplit/>
        </w:trPr>
        <w:tc>
          <w:tcPr>
            <w:tcW w:type="dxa" w:w="4896"/>
            <w:tcMar>
              <w:top w:w="80" w:type="dxa"/>
              <w:start w:w="120" w:type="dxa"/>
              <w:bottom w:w="80" w:type="dxa"/>
              <w:end w:w="120" w:type="dxa"/>
            </w:tcMar>
            <w:vAlign w:val="center"/>
          </w:tcPr>
          <w:p>
            <w:pPr>
              <w:spacing w:after="40"/>
            </w:pPr>
            <w:r>
              <w:rPr>
                <w:sz w:val="18"/>
              </w:rPr>
              <w:t>Política de retención</w:t>
            </w:r>
          </w:p>
        </w:tc>
        <w:tc>
          <w:tcPr>
            <w:tcW w:type="dxa" w:w="2015"/>
            <w:tcMar>
              <w:top w:w="80" w:type="dxa"/>
              <w:start w:w="120" w:type="dxa"/>
              <w:bottom w:w="80" w:type="dxa"/>
              <w:end w:w="120" w:type="dxa"/>
            </w:tcMar>
            <w:vAlign w:val="center"/>
          </w:tcPr>
          <w:p>
            <w:pPr>
              <w:spacing w:after="40"/>
            </w:pPr>
            <w:r>
              <w:rPr>
                <w:sz w:val="18"/>
              </w:rPr>
              <w:t>Antes de producción</w:t>
            </w:r>
          </w:p>
        </w:tc>
        <w:tc>
          <w:tcPr>
            <w:tcW w:type="dxa" w:w="2448"/>
            <w:tcMar>
              <w:top w:w="80" w:type="dxa"/>
              <w:start w:w="120" w:type="dxa"/>
              <w:bottom w:w="80" w:type="dxa"/>
              <w:end w:w="120" w:type="dxa"/>
            </w:tcMar>
            <w:vAlign w:val="center"/>
          </w:tcPr>
          <w:p>
            <w:pPr>
              <w:spacing w:after="40"/>
            </w:pPr>
            <w:r>
              <w:rPr>
                <w:sz w:val="18"/>
              </w:rPr>
              <w:t>Privacidad + legal + datos</w:t>
            </w:r>
          </w:p>
        </w:tc>
      </w:tr>
      <w:tr>
        <w:trPr>
          <w:cantSplit/>
        </w:trPr>
        <w:tc>
          <w:tcPr>
            <w:tcW w:type="dxa" w:w="4896"/>
            <w:tcMar>
              <w:top w:w="80" w:type="dxa"/>
              <w:start w:w="120" w:type="dxa"/>
              <w:bottom w:w="80" w:type="dxa"/>
              <w:end w:w="120" w:type="dxa"/>
            </w:tcMar>
            <w:vAlign w:val="center"/>
          </w:tcPr>
          <w:p>
            <w:pPr>
              <w:spacing w:after="40"/>
            </w:pPr>
            <w:r>
              <w:rPr>
                <w:sz w:val="18"/>
              </w:rPr>
              <w:t>Opinión fiscal y municipal</w:t>
            </w:r>
          </w:p>
        </w:tc>
        <w:tc>
          <w:tcPr>
            <w:tcW w:type="dxa" w:w="2015"/>
            <w:tcMar>
              <w:top w:w="80" w:type="dxa"/>
              <w:start w:w="120" w:type="dxa"/>
              <w:bottom w:w="80" w:type="dxa"/>
              <w:end w:w="120" w:type="dxa"/>
            </w:tcMar>
            <w:vAlign w:val="center"/>
          </w:tcPr>
          <w:p>
            <w:pPr>
              <w:spacing w:after="40"/>
            </w:pPr>
            <w:r>
              <w:rPr>
                <w:sz w:val="18"/>
              </w:rPr>
              <w:t>Antes de ingresos/lanzamiento</w:t>
            </w:r>
          </w:p>
        </w:tc>
        <w:tc>
          <w:tcPr>
            <w:tcW w:type="dxa" w:w="2448"/>
            <w:tcMar>
              <w:top w:w="80" w:type="dxa"/>
              <w:start w:w="120" w:type="dxa"/>
              <w:bottom w:w="80" w:type="dxa"/>
              <w:end w:w="120" w:type="dxa"/>
            </w:tcMar>
            <w:vAlign w:val="center"/>
          </w:tcPr>
          <w:p>
            <w:pPr>
              <w:spacing w:after="40"/>
            </w:pPr>
            <w:r>
              <w:rPr>
                <w:sz w:val="18"/>
              </w:rPr>
              <w:t>Contador + municipalidad</w:t>
            </w:r>
          </w:p>
        </w:tc>
      </w:tr>
    </w:tbl>
    <w:p>
      <w:pPr>
        <w:spacing w:after="20"/>
      </w:pPr>
    </w:p>
    <w:p>
      <w:pPr>
        <w:pStyle w:val="Heading1"/>
      </w:pPr>
      <w:r>
        <w:t>12. Puertas de lanzamiento</w:t>
      </w:r>
    </w:p>
    <w:p>
      <w:pPr>
        <w:pStyle w:val="ListNumber"/>
      </w:pPr>
      <w:r>
        <w:t>Definir operador, cantón, audiencia/edad y países de lanzamiento.</w:t>
      </w:r>
    </w:p>
    <w:p>
      <w:pPr>
        <w:pStyle w:val="ListNumber"/>
      </w:pPr>
      <w:r>
        <w:t>Obtener dictamen de derechos y plantilla de licencia; registrar cada autorización en M15.</w:t>
      </w:r>
    </w:p>
    <w:p>
      <w:pPr>
        <w:pStyle w:val="ListNumber"/>
      </w:pPr>
      <w:r>
        <w:t>Cerrar inscripción tributaria, actividad, IVA/renta, facturación, CCSS y patente aplicables.</w:t>
      </w:r>
    </w:p>
    <w:p>
      <w:pPr>
        <w:pStyle w:val="ListNumber"/>
      </w:pPr>
      <w:r>
        <w:t>Aprobar términos, privacidad, cookies, retención, contratos de proveedores y soporte.</w:t>
      </w:r>
    </w:p>
    <w:p>
      <w:pPr>
        <w:pStyle w:val="ListNumber"/>
      </w:pPr>
      <w:r>
        <w:t>Completar pruebas de seguridad, privacidad, accesibilidad, recuperación y retiro de contenido.</w:t>
      </w:r>
    </w:p>
    <w:p>
      <w:pPr>
        <w:pStyle w:val="ListNumber"/>
      </w:pPr>
      <w:r>
        <w:t>Publicar solo repertorio cuya licencia y evidencia pasen la validación automática.</w:t>
      </w:r>
    </w:p>
    <w:p>
      <w:pPr>
        <w:pStyle w:val="ListNumber"/>
      </w:pPr>
      <w:r>
        <w:t>Ejecutar revisión final firmada por legal, contabilidad, producto, seguridad y operación.</w:t>
      </w:r>
    </w:p>
    <w:p>
      <w:pPr>
        <w:pStyle w:val="Heading1"/>
      </w:pPr>
      <w:r>
        <w:t>13. Preguntas para los profesionales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cantSplit/>
        </w:trPr>
        <w:tc>
          <w:tcPr>
            <w:tcW w:type="dxa" w:w="4680"/>
            <w:shd w:fill="E8EEF5"/>
            <w:tcMar>
              <w:top w:w="80" w:type="dxa"/>
              <w:start w:w="120" w:type="dxa"/>
              <w:bottom w:w="80" w:type="dxa"/>
              <w:end w:w="120" w:type="dxa"/>
            </w:tcMar>
            <w:vAlign w:val="center"/>
          </w:tcPr>
          <w:p>
            <w:r>
              <w:rPr>
                <w:b/>
              </w:rPr>
              <w:t>Para abogado</w:t>
            </w:r>
          </w:p>
        </w:tc>
        <w:tc>
          <w:tcPr>
            <w:tcW w:type="dxa" w:w="4680"/>
            <w:shd w:fill="E8EEF5"/>
            <w:tcMar>
              <w:top w:w="80" w:type="dxa"/>
              <w:start w:w="120" w:type="dxa"/>
              <w:bottom w:w="80" w:type="dxa"/>
              <w:end w:w="120" w:type="dxa"/>
            </w:tcMar>
            <w:vAlign w:val="center"/>
          </w:tcPr>
          <w:p>
            <w:r>
              <w:rPr>
                <w:b/>
              </w:rPr>
              <w:t>Para contador/autoridad</w:t>
            </w:r>
          </w:p>
        </w:tc>
      </w:tr>
      <w:tr>
        <w:trPr>
          <w:cantSplit/>
        </w:trPr>
        <w:tc>
          <w:tcPr>
            <w:tcW w:type="dxa" w:w="4680"/>
            <w:tcMar>
              <w:top w:w="80" w:type="dxa"/>
              <w:start w:w="120" w:type="dxa"/>
              <w:bottom w:w="80" w:type="dxa"/>
              <w:end w:w="120" w:type="dxa"/>
            </w:tcMar>
            <w:vAlign w:val="center"/>
          </w:tcPr>
          <w:p>
            <w:pPr>
              <w:spacing w:after="40"/>
            </w:pPr>
            <w:r>
              <w:rPr>
                <w:sz w:val="18"/>
              </w:rPr>
              <w:t>¿Qué derechos exactos cubre cada licencia y quién puede otorgarlos?</w:t>
            </w:r>
          </w:p>
        </w:tc>
        <w:tc>
          <w:tcPr>
            <w:tcW w:type="dxa" w:w="4680"/>
            <w:tcMar>
              <w:top w:w="80" w:type="dxa"/>
              <w:start w:w="120" w:type="dxa"/>
              <w:bottom w:w="80" w:type="dxa"/>
              <w:end w:w="120" w:type="dxa"/>
            </w:tcMar>
            <w:vAlign w:val="center"/>
          </w:tcPr>
          <w:p>
            <w:pPr>
              <w:spacing w:after="40"/>
            </w:pPr>
            <w:r>
              <w:rPr>
                <w:sz w:val="18"/>
              </w:rPr>
              <w:t>¿Persona física o sociedad según ingresos, riesgo y contratos?</w:t>
            </w:r>
          </w:p>
        </w:tc>
      </w:tr>
      <w:tr>
        <w:trPr>
          <w:cantSplit/>
        </w:trPr>
        <w:tc>
          <w:tcPr>
            <w:tcW w:type="dxa" w:w="4680"/>
            <w:tcMar>
              <w:top w:w="80" w:type="dxa"/>
              <w:start w:w="120" w:type="dxa"/>
              <w:bottom w:w="80" w:type="dxa"/>
              <w:end w:w="120" w:type="dxa"/>
            </w:tcMar>
            <w:vAlign w:val="center"/>
          </w:tcPr>
          <w:p>
            <w:pPr>
              <w:spacing w:after="40"/>
            </w:pPr>
            <w:r>
              <w:rPr>
                <w:sz w:val="18"/>
              </w:rPr>
              <w:t>¿Puede usarse algún fragmento bajo excepción y con qué límites?</w:t>
            </w:r>
          </w:p>
        </w:tc>
        <w:tc>
          <w:tcPr>
            <w:tcW w:type="dxa" w:w="4680"/>
            <w:tcMar>
              <w:top w:w="80" w:type="dxa"/>
              <w:start w:w="120" w:type="dxa"/>
              <w:bottom w:w="80" w:type="dxa"/>
              <w:end w:w="120" w:type="dxa"/>
            </w:tcMar>
            <w:vAlign w:val="center"/>
          </w:tcPr>
          <w:p>
            <w:pPr>
              <w:spacing w:after="40"/>
            </w:pPr>
            <w:r>
              <w:rPr>
                <w:sz w:val="18"/>
              </w:rPr>
              <w:t>¿Qué actividad CIIU4 y obligaciones deben registrarse en TRIBU-CR?</w:t>
            </w:r>
          </w:p>
        </w:tc>
      </w:tr>
      <w:tr>
        <w:trPr>
          <w:cantSplit/>
        </w:trPr>
        <w:tc>
          <w:tcPr>
            <w:tcW w:type="dxa" w:w="4680"/>
            <w:tcMar>
              <w:top w:w="80" w:type="dxa"/>
              <w:start w:w="120" w:type="dxa"/>
              <w:bottom w:w="80" w:type="dxa"/>
              <w:end w:w="120" w:type="dxa"/>
            </w:tcMar>
            <w:vAlign w:val="center"/>
          </w:tcPr>
          <w:p>
            <w:pPr>
              <w:spacing w:after="40"/>
            </w:pPr>
            <w:r>
              <w:rPr>
                <w:sz w:val="18"/>
              </w:rPr>
              <w:t>¿Inscripción PRODHAB y transferencias internacionales aplican cómo?</w:t>
            </w:r>
          </w:p>
        </w:tc>
        <w:tc>
          <w:tcPr>
            <w:tcW w:type="dxa" w:w="4680"/>
            <w:tcMar>
              <w:top w:w="80" w:type="dxa"/>
              <w:start w:w="120" w:type="dxa"/>
              <w:bottom w:w="80" w:type="dxa"/>
              <w:end w:w="120" w:type="dxa"/>
            </w:tcMar>
            <w:vAlign w:val="center"/>
          </w:tcPr>
          <w:p>
            <w:pPr>
              <w:spacing w:after="40"/>
            </w:pPr>
            <w:r>
              <w:rPr>
                <w:sz w:val="18"/>
              </w:rPr>
              <w:t>¿Cada ingreso lleva IVA y cuál es el tratamiento de clientes no residentes?</w:t>
            </w:r>
          </w:p>
        </w:tc>
      </w:tr>
      <w:tr>
        <w:trPr>
          <w:cantSplit/>
        </w:trPr>
        <w:tc>
          <w:tcPr>
            <w:tcW w:type="dxa" w:w="4680"/>
            <w:tcMar>
              <w:top w:w="80" w:type="dxa"/>
              <w:start w:w="120" w:type="dxa"/>
              <w:bottom w:w="80" w:type="dxa"/>
              <w:end w:w="120" w:type="dxa"/>
            </w:tcMar>
            <w:vAlign w:val="center"/>
          </w:tcPr>
          <w:p>
            <w:pPr>
              <w:spacing w:after="40"/>
            </w:pPr>
            <w:r>
              <w:rPr>
                <w:sz w:val="18"/>
              </w:rPr>
              <w:t>¿Qué edad mínima y controles de menores corresponden?</w:t>
            </w:r>
          </w:p>
        </w:tc>
        <w:tc>
          <w:tcPr>
            <w:tcW w:type="dxa" w:w="4680"/>
            <w:tcMar>
              <w:top w:w="80" w:type="dxa"/>
              <w:start w:w="120" w:type="dxa"/>
              <w:bottom w:w="80" w:type="dxa"/>
              <w:end w:w="120" w:type="dxa"/>
            </w:tcMar>
            <w:vAlign w:val="center"/>
          </w:tcPr>
          <w:p>
            <w:pPr>
              <w:spacing w:after="40"/>
            </w:pPr>
            <w:r>
              <w:rPr>
                <w:sz w:val="18"/>
              </w:rPr>
              <w:t>¿Cómo registrar moneda, tipo de cambio, comisiones, reembolsos y retenciones?</w:t>
            </w:r>
          </w:p>
        </w:tc>
      </w:tr>
      <w:tr>
        <w:trPr>
          <w:cantSplit/>
        </w:trPr>
        <w:tc>
          <w:tcPr>
            <w:tcW w:type="dxa" w:w="4680"/>
            <w:tcMar>
              <w:top w:w="80" w:type="dxa"/>
              <w:start w:w="120" w:type="dxa"/>
              <w:bottom w:w="80" w:type="dxa"/>
              <w:end w:w="120" w:type="dxa"/>
            </w:tcMar>
            <w:vAlign w:val="center"/>
          </w:tcPr>
          <w:p>
            <w:pPr>
              <w:spacing w:after="40"/>
            </w:pPr>
            <w:r>
              <w:rPr>
                <w:sz w:val="18"/>
              </w:rPr>
              <w:t>¿Qué patente/permiso municipal requiere una operación digital desde ese cantón?</w:t>
            </w:r>
          </w:p>
        </w:tc>
        <w:tc>
          <w:tcPr>
            <w:tcW w:type="dxa" w:w="4680"/>
            <w:tcMar>
              <w:top w:w="80" w:type="dxa"/>
              <w:start w:w="120" w:type="dxa"/>
              <w:bottom w:w="80" w:type="dxa"/>
              <w:end w:w="120" w:type="dxa"/>
            </w:tcMar>
            <w:vAlign w:val="center"/>
          </w:tcPr>
          <w:p>
            <w:pPr>
              <w:spacing w:after="40"/>
            </w:pPr>
            <w:r>
              <w:rPr>
                <w:sz w:val="18"/>
              </w:rPr>
              <w:t>¿Qué comprobante debe emitirse por suscripción, aporte, anuncio o patrocinio?</w:t>
            </w:r>
          </w:p>
        </w:tc>
      </w:tr>
    </w:tbl>
    <w:p>
      <w:pPr>
        <w:spacing w:after="20"/>
      </w:pPr>
    </w:p>
    <w:p>
      <w:pPr>
        <w:pStyle w:val="Heading1"/>
      </w:pPr>
      <w:r>
        <w:t>Fuentes</w:t>
      </w:r>
    </w:p>
    <w:p>
      <w:pPr>
        <w:pStyle w:val="Source"/>
      </w:pPr>
      <w:r>
        <w:t>Fuentes consultadas el 11 de agosto de 2026. Se priorizaron textos normativos, instituciones públicas y documentación oficial de proveedores. Los precios y reglas pueden cambiar; deben reconfirmarse antes de contratar o lanzar.</w:t>
      </w:r>
    </w:p>
    <w:p>
      <w:pPr>
        <w:pStyle w:val="Source"/>
      </w:pPr>
      <w:r>
        <w:rPr>
          <w:b/>
        </w:rPr>
        <w:t xml:space="preserve">1. Ley 6683, Derechos de Autor y Derechos Conexos. </w:t>
      </w:r>
      <w:hyperlink r:id="rId11">
        <w:r>
          <w:rPr>
            <w:color w:val="0563C1"/>
            <w:u w:val="single"/>
          </w:rPr>
          <w:t>https://pgrweb.go.cr/scij/Busqueda/Normativa/Normas/nrm_texto_completo.aspx?nValor1=1&amp;nValor2=44448</w:t>
        </w:r>
      </w:hyperlink>
      <w:r>
        <w:t xml:space="preserve"> — Texto legal vigente a verificar por artículo y versión.</w:t>
      </w:r>
    </w:p>
    <w:p>
      <w:pPr>
        <w:pStyle w:val="Source"/>
      </w:pPr>
      <w:r>
        <w:rPr>
          <w:b/>
        </w:rPr>
        <w:t xml:space="preserve">2. Convenio de Berna, texto OMPI. </w:t>
      </w:r>
      <w:hyperlink r:id="rId12">
        <w:r>
          <w:rPr>
            <w:color w:val="0563C1"/>
            <w:u w:val="single"/>
          </w:rPr>
          <w:t>https://www.wipo.int/wipolex/en/text/283698</w:t>
        </w:r>
      </w:hyperlink>
      <w:r>
        <w:t xml:space="preserve"> — Derechos exclusivos de traducción y adaptación.</w:t>
      </w:r>
    </w:p>
    <w:p>
      <w:pPr>
        <w:pStyle w:val="Source"/>
      </w:pPr>
      <w:r>
        <w:rPr>
          <w:b/>
        </w:rPr>
        <w:t xml:space="preserve">3. Ley 8968, Protección de Datos. </w:t>
      </w:r>
      <w:hyperlink r:id="rId13">
        <w:r>
          <w:rPr>
            <w:color w:val="0563C1"/>
            <w:u w:val="single"/>
          </w:rPr>
          <w:t>https://pgrweb.go.cr/scij/Busqueda/Normativa/Normas/nrm_texto_completo.aspx?nValor1=1&amp;nValor2=70975&amp;param1=NRTC</w:t>
        </w:r>
      </w:hyperlink>
      <w:r>
        <w:t xml:space="preserve"> — Marco costarricense de datos personales.</w:t>
      </w:r>
    </w:p>
    <w:p>
      <w:pPr>
        <w:pStyle w:val="Source"/>
      </w:pPr>
      <w:r>
        <w:rPr>
          <w:b/>
        </w:rPr>
        <w:t xml:space="preserve">4. Reglamento a la Ley 8968. </w:t>
      </w:r>
      <w:hyperlink r:id="rId14">
        <w:r>
          <w:rPr>
            <w:color w:val="0563C1"/>
            <w:u w:val="single"/>
          </w:rPr>
          <w:t>https://pgrweb.go.cr/scij/Busqueda/Normativa/Normas/nrm_texto_completo.aspx?nValor1=1&amp;nValor2=74352&amp;nValor3=106487</w:t>
        </w:r>
      </w:hyperlink>
      <w:r>
        <w:t xml:space="preserve"> — Desarrollo reglamentario.</w:t>
      </w:r>
    </w:p>
    <w:p>
      <w:pPr>
        <w:pStyle w:val="Source"/>
      </w:pPr>
      <w:r>
        <w:rPr>
          <w:b/>
        </w:rPr>
        <w:t xml:space="preserve">5. PRODHAB: tratamiento de datos. </w:t>
      </w:r>
      <w:hyperlink r:id="rId15">
        <w:r>
          <w:rPr>
            <w:color w:val="0563C1"/>
            <w:u w:val="single"/>
          </w:rPr>
          <w:t>https://www.prodhab.go.cr/capacitacion/multimedia/infografias24/Infografia_5_Tratamiento_DP.pdf</w:t>
        </w:r>
      </w:hyperlink>
      <w:r>
        <w:t xml:space="preserve"> — Guía institucional; confirmar inscripción y trámite.</w:t>
      </w:r>
    </w:p>
    <w:p>
      <w:pPr>
        <w:pStyle w:val="Source"/>
      </w:pPr>
      <w:r>
        <w:rPr>
          <w:b/>
        </w:rPr>
        <w:t xml:space="preserve">6. Ley 7472, competencia y consumidor. </w:t>
      </w:r>
      <w:hyperlink r:id="rId16">
        <w:r>
          <w:rPr>
            <w:color w:val="0563C1"/>
            <w:u w:val="single"/>
          </w:rPr>
          <w:t>https://pgrweb.go.cr/scij/busqueda/normativa/normas/nrm_texto_completo.aspx?nValor1=1&amp;nValor2=26481</w:t>
        </w:r>
      </w:hyperlink>
      <w:r>
        <w:t xml:space="preserve"> — Derechos del consumidor.</w:t>
      </w:r>
    </w:p>
    <w:p>
      <w:pPr>
        <w:pStyle w:val="Source"/>
      </w:pPr>
      <w:r>
        <w:rPr>
          <w:b/>
        </w:rPr>
        <w:t xml:space="preserve">7. YouTube: insertar videos y privacidad mejorada. </w:t>
      </w:r>
      <w:hyperlink r:id="rId17">
        <w:r>
          <w:rPr>
            <w:color w:val="0563C1"/>
            <w:u w:val="single"/>
          </w:rPr>
          <w:t>https://support.google.com/youtube/answer/171780</w:t>
        </w:r>
      </w:hyperlink>
      <w:r>
        <w:t xml:space="preserve"> — Uso del embed y youtube-nocookie.</w:t>
      </w:r>
    </w:p>
    <w:p>
      <w:pPr>
        <w:pStyle w:val="Source"/>
      </w:pPr>
      <w:r>
        <w:rPr>
          <w:b/>
        </w:rPr>
        <w:t xml:space="preserve">8. YouTube API Services Terms. </w:t>
      </w:r>
      <w:hyperlink r:id="rId18">
        <w:r>
          <w:rPr>
            <w:color w:val="0563C1"/>
            <w:u w:val="single"/>
          </w:rPr>
          <w:t>https://developers.google.com/youtube/terms/api-services-terms-of-service</w:t>
        </w:r>
      </w:hyperlink>
      <w:r>
        <w:t xml:space="preserve"> — Condiciones contractuales de la API.</w:t>
      </w:r>
    </w:p>
    <w:p>
      <w:pPr>
        <w:pStyle w:val="Source"/>
      </w:pPr>
      <w:r>
        <w:rPr>
          <w:b/>
        </w:rPr>
        <w:t xml:space="preserve">9. YouTube Developer Policies. </w:t>
      </w:r>
      <w:hyperlink r:id="rId19">
        <w:r>
          <w:rPr>
            <w:color w:val="0563C1"/>
            <w:u w:val="single"/>
          </w:rPr>
          <w:t>https://developers.google.com/youtube/terms/developer-policies</w:t>
        </w:r>
      </w:hyperlink>
      <w:r>
        <w:t xml:space="preserve"> — Privacidad, player, datos, menores e integridad de reproducción.</w:t>
      </w:r>
    </w:p>
    <w:p>
      <w:pPr>
        <w:pStyle w:val="Source"/>
      </w:pPr>
      <w:r>
        <w:rPr>
          <w:b/>
        </w:rPr>
        <w:t xml:space="preserve">10. YouTube Required Minimum Functionality. </w:t>
      </w:r>
      <w:hyperlink r:id="rId20">
        <w:r>
          <w:rPr>
            <w:color w:val="0563C1"/>
            <w:u w:val="single"/>
          </w:rPr>
          <w:t>https://developers.google.com/youtube/terms/required-minimum-functionality</w:t>
        </w:r>
      </w:hyperlink>
      <w:r>
        <w:t xml:space="preserve"> — Tamaño, controles y requisitos del player.</w:t>
      </w:r>
    </w:p>
    <w:p>
      <w:pPr>
        <w:pStyle w:val="Source"/>
      </w:pPr>
      <w:r>
        <w:rPr>
          <w:b/>
        </w:rPr>
        <w:t xml:space="preserve">11. TRIBU-CR. </w:t>
      </w:r>
      <w:hyperlink r:id="rId21">
        <w:r>
          <w:rPr>
            <w:color w:val="0563C1"/>
            <w:u w:val="single"/>
          </w:rPr>
          <w:t>https://www.hacienda.go.cr/TRIBU-CR.html</w:t>
        </w:r>
      </w:hyperlink>
      <w:r>
        <w:t xml:space="preserve"> — Portal y guías tributarias oficiales.</w:t>
      </w:r>
    </w:p>
    <w:p>
      <w:pPr>
        <w:pStyle w:val="Source"/>
      </w:pPr>
      <w:r>
        <w:rPr>
          <w:b/>
        </w:rPr>
        <w:t xml:space="preserve">12. Clasificación de actividades económicas. </w:t>
      </w:r>
      <w:hyperlink r:id="rId22">
        <w:r>
          <w:rPr>
            <w:color w:val="0563C1"/>
            <w:u w:val="single"/>
          </w:rPr>
          <w:t>https://www.hacienda.go.cr/ClasificacionActividadesEconomicas.html</w:t>
        </w:r>
      </w:hyperlink>
      <w:r>
        <w:t xml:space="preserve"> — CIIU4 para TRIBU-CR.</w:t>
      </w:r>
    </w:p>
    <w:p>
      <w:pPr>
        <w:pStyle w:val="Source"/>
      </w:pPr>
      <w:r>
        <w:rPr>
          <w:b/>
        </w:rPr>
        <w:t xml:space="preserve">13. VUI: patente comercial. </w:t>
      </w:r>
      <w:hyperlink r:id="rId23">
        <w:r>
          <w:rPr>
            <w:color w:val="0563C1"/>
            <w:u w:val="single"/>
          </w:rPr>
          <w:t>https://vui.cr/tramite/patente-comercial-municipalidades/</w:t>
        </w:r>
      </w:hyperlink>
      <w:r>
        <w:t xml:space="preserve"> — Trámite y variación municipal.</w:t>
      </w:r>
    </w:p>
    <w:p>
      <w:pPr>
        <w:pStyle w:val="Source"/>
      </w:pPr>
      <w:r>
        <w:rPr>
          <w:b/>
        </w:rPr>
        <w:t xml:space="preserve">14. CCSS: trabajador independiente. </w:t>
      </w:r>
      <w:hyperlink r:id="rId24">
        <w:r>
          <w:rPr>
            <w:color w:val="0563C1"/>
            <w:u w:val="single"/>
          </w:rPr>
          <w:t>https://www.ccss.sa.cr/noticias/noticia?v=425551508701</w:t>
        </w:r>
      </w:hyperlink>
      <w:r>
        <w:t xml:space="preserve"> — Obligatoriedad según base contributiva aplicable.</w:t>
      </w:r>
    </w:p>
    <w:p>
      <w:pPr>
        <w:pStyle w:val="Source"/>
      </w:pPr>
      <w:r>
        <w:rPr>
          <w:b/>
        </w:rPr>
        <w:t xml:space="preserve">15. Registro Nacional: aranceles de personas jurídicas. </w:t>
      </w:r>
      <w:hyperlink r:id="rId25">
        <w:r>
          <w:rPr>
            <w:color w:val="0563C1"/>
            <w:u w:val="single"/>
          </w:rPr>
          <w:t>https://registronacional.go.cr/tramites_servicios/tramitesregistros/personas%20juridicas/personas_juridicas_aranceles.htm</w:t>
        </w:r>
      </w:hyperlink>
      <w:r>
        <w:t xml:space="preserve"> — Arancel registral 2026; no incluye honorarios ni otros costos.</w:t>
      </w:r>
    </w:p>
    <w:p>
      <w:pPr>
        <w:pStyle w:val="Source"/>
      </w:pPr>
      <w:r>
        <w:rPr>
          <w:b/>
        </w:rPr>
        <w:t xml:space="preserve">16. Ley 9428, impuesto a personas jurídicas. </w:t>
      </w:r>
      <w:hyperlink r:id="rId26">
        <w:r>
          <w:rPr>
            <w:color w:val="0563C1"/>
            <w:u w:val="single"/>
          </w:rPr>
          <w:t>https://pgrweb.go.cr/SCIJ/Busqueda/Normativa/Normas/nrm_texto_completo.aspx?nValor1=1&amp;nValor2=83731&amp;nValor3=130560&amp;param1=NRTC&amp;strTipM=TC</w:t>
        </w:r>
      </w:hyperlink>
      <w:r>
        <w:t xml:space="preserve"> — Obligación anual de sociedades dentro de su ámbito.</w:t>
      </w:r>
    </w:p>
    <w:p>
      <w:pPr>
        <w:pStyle w:val="Source"/>
      </w:pPr>
      <w:r>
        <w:rPr>
          <w:b/>
        </w:rPr>
        <w:t xml:space="preserve">17. Registro Nacional: propiedad intelectual. </w:t>
      </w:r>
      <w:hyperlink r:id="rId27">
        <w:r>
          <w:rPr>
            <w:color w:val="0563C1"/>
            <w:u w:val="single"/>
          </w:rPr>
          <w:t>https://www.registronacional.go.cr/registro_propiedad_intelectual/</w:t>
        </w:r>
      </w:hyperlink>
      <w:r>
        <w:t xml:space="preserve"> — Trámites de marcas y otros activos.</w:t>
      </w:r>
    </w:p>
    <w:p>
      <w:pPr>
        <w:pStyle w:val="Heading1"/>
      </w:pPr>
      <w:r>
        <w:t>Anexo A. Trazabilidad con los documentos del proyecto</w:t>
      </w:r>
    </w:p>
    <w:p>
      <w:pPr>
        <w:pStyle w:val="Source"/>
      </w:pPr>
      <w:r>
        <w:t>El análisis se contrastó con los siete artefactos suministrados: documento maestro M01–M19; alcance, priorización y trazabilidad; RNF medibles; actores y casos de uso; arquitectura; modelo conceptual y lógico; y diseño físico PostgreSQL. De ellos se incorporaron especialmente las puertas de derechos M15, consentimiento y privacidad M01, seguridad/auditoría M18, retención M19, privacidad mejorada de YouTube y exclusión del contenido comunitario del MVP.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Documento de planificación — revisión profesional requerida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Preparación legal para lanzamiento público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80"/>
    </w:pPr>
    <w:rPr>
      <w:rFonts w:ascii="Calibri" w:hAnsi="Calibr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grweb.go.cr/scij/Busqueda/Normativa/Normas/nrm_texto_completo.aspx?nValor1=1&amp;nValor2=44448" TargetMode="External"/><Relationship Id="rId12" Type="http://schemas.openxmlformats.org/officeDocument/2006/relationships/hyperlink" Target="https://www.wipo.int/wipolex/en/text/283698" TargetMode="External"/><Relationship Id="rId13" Type="http://schemas.openxmlformats.org/officeDocument/2006/relationships/hyperlink" Target="https://pgrweb.go.cr/scij/Busqueda/Normativa/Normas/nrm_texto_completo.aspx?nValor1=1&amp;nValor2=70975&amp;param1=NRTC" TargetMode="External"/><Relationship Id="rId14" Type="http://schemas.openxmlformats.org/officeDocument/2006/relationships/hyperlink" Target="https://pgrweb.go.cr/scij/Busqueda/Normativa/Normas/nrm_texto_completo.aspx?nValor1=1&amp;nValor2=74352&amp;nValor3=106487" TargetMode="External"/><Relationship Id="rId15" Type="http://schemas.openxmlformats.org/officeDocument/2006/relationships/hyperlink" Target="https://www.prodhab.go.cr/capacitacion/multimedia/infografias24/Infografia_5_Tratamiento_DP.pdf" TargetMode="External"/><Relationship Id="rId16" Type="http://schemas.openxmlformats.org/officeDocument/2006/relationships/hyperlink" Target="https://pgrweb.go.cr/scij/busqueda/normativa/normas/nrm_texto_completo.aspx?nValor1=1&amp;nValor2=26481" TargetMode="External"/><Relationship Id="rId17" Type="http://schemas.openxmlformats.org/officeDocument/2006/relationships/hyperlink" Target="https://support.google.com/youtube/answer/171780" TargetMode="External"/><Relationship Id="rId18" Type="http://schemas.openxmlformats.org/officeDocument/2006/relationships/hyperlink" Target="https://developers.google.com/youtube/terms/api-services-terms-of-service" TargetMode="External"/><Relationship Id="rId19" Type="http://schemas.openxmlformats.org/officeDocument/2006/relationships/hyperlink" Target="https://developers.google.com/youtube/terms/developer-policies" TargetMode="External"/><Relationship Id="rId20" Type="http://schemas.openxmlformats.org/officeDocument/2006/relationships/hyperlink" Target="https://developers.google.com/youtube/terms/required-minimum-functionality" TargetMode="External"/><Relationship Id="rId21" Type="http://schemas.openxmlformats.org/officeDocument/2006/relationships/hyperlink" Target="https://www.hacienda.go.cr/TRIBU-CR.html" TargetMode="External"/><Relationship Id="rId22" Type="http://schemas.openxmlformats.org/officeDocument/2006/relationships/hyperlink" Target="https://www.hacienda.go.cr/ClasificacionActividadesEconomicas.html" TargetMode="External"/><Relationship Id="rId23" Type="http://schemas.openxmlformats.org/officeDocument/2006/relationships/hyperlink" Target="https://vui.cr/tramite/patente-comercial-municipalidades/" TargetMode="External"/><Relationship Id="rId24" Type="http://schemas.openxmlformats.org/officeDocument/2006/relationships/hyperlink" Target="https://www.ccss.sa.cr/noticias/noticia?v=425551508701" TargetMode="External"/><Relationship Id="rId25" Type="http://schemas.openxmlformats.org/officeDocument/2006/relationships/hyperlink" Target="https://registronacional.go.cr/tramites_servicios/tramitesregistros/personas%20juridicas/personas_juridicas_aranceles.htm" TargetMode="External"/><Relationship Id="rId26" Type="http://schemas.openxmlformats.org/officeDocument/2006/relationships/hyperlink" Target="https://pgrweb.go.cr/SCIJ/Busqueda/Normativa/Normas/nrm_texto_completo.aspx?nValor1=1&amp;nValor2=83731&amp;nValor3=130560&amp;param1=NRTC&amp;strTipM=TC" TargetMode="External"/><Relationship Id="rId27" Type="http://schemas.openxmlformats.org/officeDocument/2006/relationships/hyperlink" Target="https://www.registronacional.go.cr/registro_propiedad_intelect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