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CoverLabel"/>
      </w:pPr>
      <w:r>
        <w:t>DOCUMENTO DE DEFINICIÓN DEL PRODUCTO</w:t>
      </w:r>
    </w:p>
    <w:p>
      <w:pPr>
        <w:pStyle w:val="CoverTitle"/>
      </w:pPr>
      <w:r>
        <w:t>Alcance, priorización y trazabilidad del MVP</w:t>
      </w:r>
    </w:p>
    <w:p>
      <w:pPr>
        <w:pStyle w:val="CoverSubtitle"/>
      </w:pPr>
      <w:r>
        <w:t>Plataforma de aprendizaje de japonés mediante canciones</w:t>
      </w:r>
    </w:p>
    <w:p>
      <w:pPr>
        <w:spacing w:before="440"/>
        <w:jc w:val="center"/>
      </w:pPr>
      <w:r>
        <w:rPr>
          <w:rFonts w:ascii="Aptos" w:hAnsi="Aptos"/>
          <w:b w:val="0"/>
          <w:i w:val="0"/>
          <w:color w:val="666666"/>
          <w:sz w:val="20"/>
        </w:rPr>
        <w:t>Módulos M01–M19  ·  Versión 1.0  ·  22 de julio de 2026</w:t>
      </w:r>
    </w:p>
    <w:p>
      <w:r>
        <w:br w:type="page"/>
      </w:r>
    </w:p>
    <w:p>
      <w:pPr>
        <w:pStyle w:val="Heading1"/>
      </w:pPr>
      <w:r>
        <w:t>Contenido del documento</w:t>
      </w:r>
    </w:p>
    <w:p>
      <w:r>
        <w:t>La estructura separa la decisión de producto, la priorización, los límites y la trazabilidad exacta de la línea base.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15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8784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1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Definición del MVP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2</w:t>
            </w:r>
          </w:p>
        </w:tc>
        <w:tc>
          <w:tcPr>
            <w:tcW w:type="dxa" w:w="87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Restricciones y decisiones vinculantes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3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Actores y límites operativos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4</w:t>
            </w:r>
          </w:p>
        </w:tc>
        <w:tc>
          <w:tcPr>
            <w:tcW w:type="dxa" w:w="87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Método de priorización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5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Resultado de la priorización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6</w:t>
            </w:r>
          </w:p>
        </w:tc>
        <w:tc>
          <w:tcPr>
            <w:tcW w:type="dxa" w:w="87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Alcance funcional por módulo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7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Flujos funcionales y trazabilidad transversal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8</w:t>
            </w:r>
          </w:p>
        </w:tc>
        <w:tc>
          <w:tcPr>
            <w:tcW w:type="dxa" w:w="87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Fuera del MVP 1.0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9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Normalización necesaria antes del backlog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10</w:t>
            </w:r>
          </w:p>
        </w:tc>
        <w:tc>
          <w:tcPr>
            <w:tcW w:type="dxa" w:w="87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Criterios de salida del MVP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11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Riesgos y control de cambios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12</w:t>
            </w:r>
          </w:p>
        </w:tc>
        <w:tc>
          <w:tcPr>
            <w:tcW w:type="dxa" w:w="87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Próximo entregable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A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Matriz exacta de trazabilidad de RF</w:t>
            </w:r>
          </w:p>
        </w:tc>
      </w:tr>
      <w:tr>
        <w:trPr>
          <w:cantSplit/>
        </w:trPr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B</w:t>
            </w:r>
          </w:p>
        </w:tc>
        <w:tc>
          <w:tcPr>
            <w:tcW w:type="dxa" w:w="878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Matriz exacta de trazabilidad de RN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</w:t>
            </w:r>
          </w:p>
        </w:tc>
        <w:tc>
          <w:tcPr>
            <w:tcW w:type="dxa" w:w="87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Dependencias del MVP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848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8"/>
              </w:rPr>
              <w:t>Documento fuente</w:t>
            </w:r>
          </w:p>
        </w:tc>
        <w:tc>
          <w:tcPr>
            <w:tcW w:type="dxa" w:w="78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Documento Maestro de Requerimientos M01–M19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8"/>
              </w:rPr>
              <w:t>Línea base</w:t>
            </w:r>
          </w:p>
        </w:tc>
        <w:tc>
          <w:tcPr>
            <w:tcW w:type="dxa" w:w="784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3.843 requerimientos funcionales y 1.002 reglas de negocio únicas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8"/>
              </w:rPr>
              <w:t>Objetivo</w:t>
            </w:r>
          </w:p>
        </w:tc>
        <w:tc>
          <w:tcPr>
            <w:tcW w:type="dxa" w:w="78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Delimitar el MVP, ordenar versiones posteriores y conservar trazabilidad exacta con los identificadores canónicos.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8"/>
              </w:rPr>
              <w:t>Idioma inicial</w:t>
            </w:r>
          </w:p>
        </w:tc>
        <w:tc>
          <w:tcPr>
            <w:tcW w:type="dxa" w:w="784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Español; el modelo de datos permanece preparado para inglés, italiano y otros idiomas posteriores.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8"/>
              </w:rPr>
              <w:t>Dependencia externa permitida</w:t>
            </w:r>
          </w:p>
        </w:tc>
        <w:tc>
          <w:tcPr>
            <w:tcW w:type="dxa" w:w="78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Reproductor incrustado de YouTube; no se autoriza otra API externa ni scraping automático de Google.</w:t>
            </w:r>
          </w:p>
        </w:tc>
      </w:tr>
      <w:tr>
        <w:trPr>
          <w:cantSplit/>
        </w:trPr>
        <w:tc>
          <w:tcPr>
            <w:tcW w:type="dxa" w:w="20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8"/>
              </w:rPr>
              <w:t>Estado</w:t>
            </w:r>
          </w:p>
        </w:tc>
        <w:tc>
          <w:tcPr>
            <w:tcW w:type="dxa" w:w="784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8"/>
              </w:rPr>
              <w:t>Línea base propuesta para aprobación y posterior conversión en casos de uso, criterios de aceptación y backlog.</w:t>
            </w:r>
          </w:p>
        </w:tc>
      </w:tr>
    </w:tbl>
    <w:p>
      <w:pPr>
        <w:spacing w:after="20"/>
      </w:pPr>
    </w:p>
    <w:p>
      <w:pPr>
        <w:pStyle w:val="Heading1"/>
      </w:pPr>
      <w:r>
        <w:t>Resumen ejecutivo</w:t>
      </w:r>
    </w:p>
    <w:p>
      <w:r>
        <w:t>El documento maestro describe el producto completo, pero no constituye todavía un plan de construcción. Esta priorización define una primera entrega vertical que demuestra el valor principal de la plataforma: aprender japonés a partir de una canción publicada, sincronizada y explicada, realizar una actividad contextual y conservar el progreso personal.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9936"/>
            <w:shd w:fill="E8F3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2E7D32"/>
                <w:sz w:val="20"/>
              </w:rPr>
              <w:t>Decisión de alcance del MVP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El MVP 1.0 cubrirá un flujo completo de usuario y un flujo mínimo de curaduría interna. No intentará implementar los diecinueve módulos con toda su profundidad. Las funciones sociales, campañas, recompensas, personajes, minijuegos y efectos musicales avanzados se reservan para V2.0.</w:t>
            </w:r>
          </w:p>
        </w:tc>
      </w:tr>
    </w:tbl>
    <w:p>
      <w:pPr>
        <w:spacing w:after="20"/>
      </w:pPr>
    </w:p>
    <w:p>
      <w:r>
        <w:t>Las cantidades de este documento se calculan por identificadores únicos. Las referencias repetidas dentro de portadas, resúmenes o explicaciones del maestro no se contabilizan como requisitos adicionales.</w:t>
      </w:r>
    </w:p>
    <w:p>
      <w:pPr>
        <w:pStyle w:val="Heading1"/>
      </w:pPr>
      <w:r>
        <w:t>1. Definición del MVP</w:t>
      </w:r>
    </w:p>
    <w:p>
      <w:pPr>
        <w:pStyle w:val="Heading2"/>
      </w:pPr>
      <w:r>
        <w:t>1.1 Objetivo</w:t>
      </w:r>
    </w:p>
    <w:p>
      <w:r>
        <w:t>Validar que una persona puede utilizar una canción japonesa como unidad de aprendizaje, comprender su letra con ayudas configurables, practicar contenido contextual y volver posteriormente sin perder su avance.</w:t>
      </w:r>
    </w:p>
    <w:p>
      <w:pPr>
        <w:pStyle w:val="Heading2"/>
      </w:pPr>
      <w:r>
        <w:t>1.2 Recorrido principal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La persona crea una cuenta o inicia sesión.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Busca y abre una canción disponible en el catálogo interno.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Reproduce el video mediante el reproductor incrustado de YouTube.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Lee la letra sincronizada en japonés y consulta kana/furigana, romaji y traducción al español.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Abre vocabulario, kanji, lecturas y explicaciones gramaticales vinculadas con la línea activa.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Resuelve al menos una actividad contextual, incluida la modalidad de completar espacios con opciones.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Recibe retroalimentación y el sistema registra una evidencia válida.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Consulta el progreso privado de la canción y reanuda desde el último punto confirmado.</w:t>
      </w:r>
    </w:p>
    <w:p>
      <w:pPr>
        <w:pStyle w:val="Heading2"/>
      </w:pPr>
      <w:r>
        <w:t>1.3 Flujo mínimo de curaduría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Una persona autorizada registra artista, canción, grabación y enlace de YouTube.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Carga o transcribe manualmente la letra japonesa y la divide en secciones, líneas y tokens.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Sincroniza la letra con la fuente y revisa el resultado en la línea de tiempo.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Registra la traducción al español y las alineaciones necesarias.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Añade o valida lecturas, romaji, vocabulario, kanji, gramática y preguntas contextuales.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Confirma derechos, procedencia, estado editorial y publicación mediante permisos auditables.</w:t>
      </w:r>
    </w:p>
    <w:p>
      <w:pPr>
        <w:pStyle w:val="Heading2"/>
      </w:pPr>
      <w:r>
        <w:t>1.4 Resultado verificable</w:t>
      </w:r>
    </w:p>
    <w:p>
      <w:r>
        <w:t>El MVP queda funcionalmente completo cuando una canción publicada puede recorrer de extremo a extremo ambos flujos, sin intervención directa en la base de datos durante la demostración y sin depender de servicios externos distintos del reproductor incrustado de YouTube.</w:t>
      </w:r>
    </w:p>
    <w:p>
      <w:pPr>
        <w:pStyle w:val="Heading1"/>
      </w:pPr>
      <w:r>
        <w:t>2. Restricciones y decisiones vinculantes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44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Área</w:t>
            </w:r>
          </w:p>
        </w:tc>
        <w:tc>
          <w:tcPr>
            <w:tcW w:type="dxa" w:w="799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Integraciones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No usar APIs externas para traducción, transcripción, diccionario, análisis o búsqueda. La única excepción es el reproductor incrustado de YouTube.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Obtención de contenido</w:t>
            </w:r>
          </w:p>
        </w:tc>
        <w:tc>
          <w:tcPr>
            <w:tcW w:type="dxa" w:w="79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No realizar scraping automático de Google. Todo contenido debe tener procedencia, derechos y proceso editorial identificables.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Procesamiento lingüístico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Las capacidades automáticas futuras deberán ejecutarse mediante componentes o modelos propios/locales controlados por la plataforma.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Idiomas</w:t>
            </w:r>
          </w:p>
        </w:tc>
        <w:tc>
          <w:tcPr>
            <w:tcW w:type="dxa" w:w="79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Español será el idioma visible inicial. El modelo debe ser multilingüe desde el inicio para incorporar inglés, italiano u otros sin rediseñar entidades canónicas.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Listas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Las listas de reproducción y estudio serán internas. Las listas públicas, colaborativas y campañas no pertenecen al MVP.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Progreso JLPT</w:t>
            </w:r>
          </w:p>
        </w:tc>
        <w:tc>
          <w:tcPr>
            <w:tcW w:type="dxa" w:w="79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El nivel o progreso JLPT será personal y orientativo; nunca se presentará como certificación oficial.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Preguntas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Las actividades contextuales podrán activarse o desactivarse y evolucionar progresivamente; el MVP comienza con un conjunto controlado, no con adaptación completa.</w:t>
            </w:r>
          </w:p>
        </w:tc>
      </w:tr>
      <w:tr>
        <w:trPr>
          <w:cantSplit/>
        </w:trPr>
        <w:tc>
          <w:tcPr>
            <w:tcW w:type="dxa" w:w="194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Privacidad</w:t>
            </w:r>
          </w:p>
        </w:tc>
        <w:tc>
          <w:tcPr>
            <w:tcW w:type="dxa" w:w="79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Progreso, respuestas, notas e historial serán privados por defecto. Compartirlos exige una función posterior y una acción explícita.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YouTube</w:t>
            </w:r>
          </w:p>
        </w:tc>
        <w:tc>
          <w:tcPr>
            <w:tcW w:type="dxa" w:w="79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El sistema conserva metadatos y referencias propias; no copia ni controla el contenido audiovisual de YouTube.</w:t>
            </w:r>
          </w:p>
        </w:tc>
      </w:tr>
    </w:tbl>
    <w:p>
      <w:pPr>
        <w:spacing w:after="20"/>
      </w:pPr>
    </w:p>
    <w:p>
      <w:pPr>
        <w:pStyle w:val="Heading2"/>
      </w:pPr>
      <w:r>
        <w:t>2.1 Supuestos de esta priorización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El catálogo inicial será curado por personas autorizadas; su cantidad exacta se definirá en el plan de contenidos.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Los roles editor, traductor y administrador podrán asignarse a una misma persona durante el piloto, sin eliminar la separación lógica de permisos.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La transcripción, traducción y anotación automáticas no son necesarias para demostrar el MVP; el contenido podrá prepararse manualmente.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La persistencia en servidor sí forma parte del MVP; la operación sin conexión y la sincronización avanzada entre dispositivos quedan para V1.1.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Los requerimientos no funcionales medibles se documentarán en el entregable siguiente y no se sustituyen por esta priorización funcional.</w:t>
      </w:r>
    </w:p>
    <w:p>
      <w:pPr>
        <w:pStyle w:val="Heading1"/>
      </w:pPr>
      <w:r>
        <w:t>3. Actores y límites operativos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Actor</w:t>
            </w:r>
          </w:p>
        </w:tc>
        <w:tc>
          <w:tcPr>
            <w:tcW w:type="dxa" w:w="7703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Responsabilidad dentro del alcance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Visitante</w:t>
            </w:r>
          </w:p>
        </w:tc>
        <w:tc>
          <w:tcPr>
            <w:tcW w:type="dxa" w:w="77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Consulta páginas públicas y catálogo disponible; debe registrarse para guardar progreso, notas o respuestas.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Estudiante registrado</w:t>
            </w:r>
          </w:p>
        </w:tc>
        <w:tc>
          <w:tcPr>
            <w:tcW w:type="dxa" w:w="770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Configura ayudas, reproduce canciones, consulta análisis, resuelve ejercicios y administra su progreso privado.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Editor de contenido</w:t>
            </w:r>
          </w:p>
        </w:tc>
        <w:tc>
          <w:tcPr>
            <w:tcW w:type="dxa" w:w="77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Registra catálogo, letra, sincronización, análisis y preguntas dentro del alcance autorizado.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Traductor/revisor</w:t>
            </w:r>
          </w:p>
        </w:tc>
        <w:tc>
          <w:tcPr>
            <w:tcW w:type="dxa" w:w="770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Prepara y revisa traducciones y anotaciones al español, con autoría, revisión y procedencia.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Administrador</w:t>
            </w:r>
          </w:p>
        </w:tc>
        <w:tc>
          <w:tcPr>
            <w:tcW w:type="dxa" w:w="77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Gestiona usuarios autorizados, roles mínimos, catálogos operativos y publicación; sus acciones protegidas quedan auditadas.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Moderador</w:t>
            </w:r>
          </w:p>
        </w:tc>
        <w:tc>
          <w:tcPr>
            <w:tcW w:type="dxa" w:w="770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Actor previsto para V2.0; no es necesario mientras no exista comunidad ni publicación directa por usuarios.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Reproductor de YouTube</w:t>
            </w:r>
          </w:p>
        </w:tc>
        <w:tc>
          <w:tcPr>
            <w:tcW w:type="dxa" w:w="77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Servicio externo incrustado que reproduce la fuente; no proporciona traducción, transcripción ni lógica educativa.</w:t>
            </w:r>
          </w:p>
        </w:tc>
      </w:tr>
    </w:tbl>
    <w:p>
      <w:pPr>
        <w:spacing w:after="20"/>
      </w:pPr>
    </w:p>
    <w:p>
      <w:pPr>
        <w:pStyle w:val="Heading1"/>
      </w:pPr>
      <w:r>
        <w:t>4. Método de priorización</w:t>
      </w:r>
    </w:p>
    <w:p>
      <w:r>
        <w:t>Se aplica una adaptación de MoSCoW vinculada directamente con versiones. La prioridad no representa esfuerzo ni orden técnico por sí sola; identifica cuándo debe estar disponible el comportamiento.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2951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Versión</w:t>
            </w:r>
          </w:p>
        </w:tc>
        <w:tc>
          <w:tcPr>
            <w:tcW w:type="dxa" w:w="5903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P0</w:t>
            </w:r>
          </w:p>
        </w:tc>
        <w:tc>
          <w:tcPr>
            <w:tcW w:type="dxa" w:w="29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7"/>
              </w:rPr>
              <w:t>MVP 1.0 · Imprescindible</w:t>
            </w:r>
          </w:p>
        </w:tc>
        <w:tc>
          <w:tcPr>
            <w:tcW w:type="dxa" w:w="59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Necesario para completar el recorrido principal o protegerlo con integridad, privacidad, derechos y seguridad.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P1</w:t>
            </w:r>
          </w:p>
        </w:tc>
        <w:tc>
          <w:tcPr>
            <w:tcW w:type="dxa" w:w="2951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V1.1 · Posterior prioritaria</w:t>
            </w:r>
          </w:p>
        </w:tc>
        <w:tc>
          <w:tcPr>
            <w:tcW w:type="dxa" w:w="590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Amplía estudio, biblioteca, sincronización, visualización y análisis después de validar el recorrido principal.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P2</w:t>
            </w:r>
          </w:p>
        </w:tc>
        <w:tc>
          <w:tcPr>
            <w:tcW w:type="dxa" w:w="29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7"/>
              </w:rPr>
              <w:t>V2.0 · Expansión</w:t>
            </w:r>
          </w:p>
        </w:tc>
        <w:tc>
          <w:tcPr>
            <w:tcW w:type="dxa" w:w="59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Añade gamificación, personajes, comunidad, campañas, minijuegos y efectos avanzados.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TR</w:t>
            </w:r>
          </w:p>
        </w:tc>
        <w:tc>
          <w:tcPr>
            <w:tcW w:type="dxa" w:w="2951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9C6500"/>
                <w:sz w:val="17"/>
              </w:rPr>
              <w:t>Normalizar · Reubicar</w:t>
            </w:r>
          </w:p>
        </w:tc>
        <w:tc>
          <w:tcPr>
            <w:tcW w:type="dxa" w:w="5903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No se implementa bajo el identificador heredado de M06; se cubre mediante el módulo canónico indicado.</w:t>
            </w:r>
          </w:p>
        </w:tc>
      </w:tr>
    </w:tbl>
    <w:p>
      <w:pPr>
        <w:spacing w:after="20"/>
      </w:pPr>
    </w:p>
    <w:p>
      <w:pPr>
        <w:pStyle w:val="Heading2"/>
      </w:pPr>
      <w:r>
        <w:t>4.1 Criterios usados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Valor directo para el recorrido principal del estudiante.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Dependencia técnica o de datos necesaria para que otro requisito funcione.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Riesgo de seguridad, privacidad, derechos, integridad o pérdida de información.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Capacidad de validar el producto con contenido curado sin depender de comunidad, gamificación o automatización avanzada.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Evitar implementar dos veces una responsabilidad que ya posee un módulo canónico.</w:t>
      </w:r>
    </w:p>
    <w:p>
      <w:pPr>
        <w:pStyle w:val="Heading1"/>
      </w:pPr>
      <w:r>
        <w:t>5. Resultado de la priorización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936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4536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Destino</w:t>
            </w:r>
          </w:p>
        </w:tc>
        <w:tc>
          <w:tcPr>
            <w:tcW w:type="dxa" w:w="115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RF</w:t>
            </w:r>
          </w:p>
        </w:tc>
        <w:tc>
          <w:tcPr>
            <w:tcW w:type="dxa" w:w="115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RN</w:t>
            </w:r>
          </w:p>
        </w:tc>
        <w:tc>
          <w:tcPr>
            <w:tcW w:type="dxa" w:w="1224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Total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P0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7"/>
              </w:rPr>
              <w:t>MVP 1.0 · Imprescindible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1.309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582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1.891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P1</w:t>
            </w:r>
          </w:p>
        </w:tc>
        <w:tc>
          <w:tcPr>
            <w:tcW w:type="dxa" w:w="4536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V1.1 · Posterior prioritaria</w:t>
            </w:r>
          </w:p>
        </w:tc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1.419</w:t>
            </w:r>
          </w:p>
        </w:tc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240</w:t>
            </w:r>
          </w:p>
        </w:tc>
        <w:tc>
          <w:tcPr>
            <w:tcW w:type="dxa" w:w="12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1.659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P2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7"/>
              </w:rPr>
              <w:t>V2.0 · Expansión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969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180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1.149</w:t>
            </w:r>
          </w:p>
        </w:tc>
      </w:tr>
      <w:tr>
        <w:trPr>
          <w:cantSplit/>
        </w:trPr>
        <w:tc>
          <w:tcPr>
            <w:tcW w:type="dxa" w:w="93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TR</w:t>
            </w:r>
          </w:p>
        </w:tc>
        <w:tc>
          <w:tcPr>
            <w:tcW w:type="dxa" w:w="453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9C6500"/>
                <w:sz w:val="17"/>
              </w:rPr>
              <w:t>Normalizar · Reubicar</w:t>
            </w:r>
          </w:p>
        </w:tc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146</w:t>
            </w:r>
          </w:p>
        </w:tc>
        <w:tc>
          <w:tcPr>
            <w:tcW w:type="dxa" w:w="115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0</w:t>
            </w:r>
          </w:p>
        </w:tc>
        <w:tc>
          <w:tcPr>
            <w:tcW w:type="dxa" w:w="12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146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993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9C6500"/>
                <w:sz w:val="20"/>
              </w:rPr>
              <w:t>Cómo interpretar las reglas de negocio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Las RN se asignan a la primera versión en la que participa su módulo y actúan como contrato. Una regla relacionada exclusivamente con una función diferida se vuelve exigible cuando esa función entra en alcance; su inclusión temprana no obliga a construir la función antes de tiempo.</w:t>
            </w:r>
          </w:p>
        </w:tc>
      </w:tr>
    </w:tbl>
    <w:p>
      <w:pPr>
        <w:spacing w:after="20"/>
      </w:pPr>
    </w:p>
    <w:p>
      <w:pPr>
        <w:pStyle w:val="Heading2"/>
      </w:pPr>
      <w:r>
        <w:t>5.1 Vista por módulo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Mód.</w:t>
            </w:r>
          </w:p>
        </w:tc>
        <w:tc>
          <w:tcPr>
            <w:tcW w:type="dxa" w:w="4608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Nombre</w:t>
            </w:r>
          </w:p>
        </w:tc>
        <w:tc>
          <w:tcPr>
            <w:tcW w:type="dxa" w:w="79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P0</w:t>
            </w:r>
          </w:p>
        </w:tc>
        <w:tc>
          <w:tcPr>
            <w:tcW w:type="dxa" w:w="79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P1</w:t>
            </w:r>
          </w:p>
        </w:tc>
        <w:tc>
          <w:tcPr>
            <w:tcW w:type="dxa" w:w="79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P2</w:t>
            </w:r>
          </w:p>
        </w:tc>
        <w:tc>
          <w:tcPr>
            <w:tcW w:type="dxa" w:w="79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TR</w:t>
            </w:r>
          </w:p>
        </w:tc>
        <w:tc>
          <w:tcPr>
            <w:tcW w:type="dxa" w:w="79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RN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M01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Usuarios y preferencias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25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27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M02</w:t>
            </w:r>
          </w:p>
        </w:tc>
        <w:tc>
          <w:tcPr>
            <w:tcW w:type="dxa" w:w="460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Catálogo musical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56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40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26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M03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Reproducción, letras y sincronización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114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9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34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M04</w:t>
            </w:r>
          </w:p>
        </w:tc>
        <w:tc>
          <w:tcPr>
            <w:tcW w:type="dxa" w:w="460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Traducciones multilingües y anotaciones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130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27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44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M05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Aprendizaje del japonés y análisis lingüístico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25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49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M06</w:t>
            </w:r>
          </w:p>
        </w:tc>
        <w:tc>
          <w:tcPr>
            <w:tcW w:type="dxa" w:w="460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Herramientas de estudio, práctica y progreso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58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55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146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56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M07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Sesiones y repetición espaciada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77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127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55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M08</w:t>
            </w:r>
          </w:p>
        </w:tc>
        <w:tc>
          <w:tcPr>
            <w:tcW w:type="dxa" w:w="460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Preguntas, ejercicios y minijuegos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138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72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M09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Progreso dentro de la canción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136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77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M10</w:t>
            </w:r>
          </w:p>
        </w:tc>
        <w:tc>
          <w:tcPr>
            <w:tcW w:type="dxa" w:w="460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Biblioteca, listas y campañas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95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135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M11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Logros, colecciones y recompensas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230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M12</w:t>
            </w:r>
          </w:p>
        </w:tc>
        <w:tc>
          <w:tcPr>
            <w:tcW w:type="dxa" w:w="460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Personajes guía y personalización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230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M13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Dirección visual y efectos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170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M14</w:t>
            </w:r>
          </w:p>
        </w:tc>
        <w:tc>
          <w:tcPr>
            <w:tcW w:type="dxa" w:w="460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Comunidad y colaboración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230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M15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Gestión editorial y moderación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140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30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M16</w:t>
            </w:r>
          </w:p>
        </w:tc>
        <w:tc>
          <w:tcPr>
            <w:tcW w:type="dxa" w:w="460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Notificaciones y comunicaciones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230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M17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Estadísticas y reportes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230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M18</w:t>
            </w:r>
          </w:p>
        </w:tc>
        <w:tc>
          <w:tcPr>
            <w:tcW w:type="dxa" w:w="460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Seguridad, roles y auditoría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130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M19</w:t>
            </w:r>
          </w:p>
        </w:tc>
        <w:tc>
          <w:tcPr>
            <w:tcW w:type="dxa" w:w="46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Administración y catálogos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125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105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0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60</w:t>
            </w:r>
          </w:p>
        </w:tc>
      </w:tr>
    </w:tbl>
    <w:p>
      <w:pPr>
        <w:spacing w:after="20"/>
      </w:pPr>
    </w:p>
    <w:p>
      <w:pPr>
        <w:pStyle w:val="Heading1"/>
      </w:pPr>
      <w:r>
        <w:t>6. Alcance funcional por módulo</w:t>
      </w:r>
    </w:p>
    <w:p>
      <w:r>
        <w:t>La tabla siguiente expresa la decisión de producto. Los rangos exactos se repiten en el anexo de trazabilidad para facilitar su importación posterior al backlog.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Mód.</w:t>
            </w:r>
          </w:p>
        </w:tc>
        <w:tc>
          <w:tcPr>
            <w:tcW w:type="dxa" w:w="1296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Destino</w:t>
            </w:r>
          </w:p>
        </w:tc>
        <w:tc>
          <w:tcPr>
            <w:tcW w:type="dxa" w:w="3960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RF incluidos</w:t>
            </w:r>
          </w:p>
        </w:tc>
        <w:tc>
          <w:tcPr>
            <w:tcW w:type="dxa" w:w="3888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Decisión de alcance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RF-M01-001–006, RF-M01-010–011, RF-M01-014–017, RF-M01-019–020, RF-M01-022–024, RF-M01-028, RF-M01-030–031, RF-M01-034, RF-M01-048, RF-M01-051–052, RF-M01-056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Cuenta básica; español como interfaz y traducción principal; presentación de japonés; accesibilidad, privacidad y consentimiento mínimos.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M01</w:t>
            </w:r>
          </w:p>
        </w:tc>
        <w:tc>
          <w:tcPr>
            <w:tcW w:type="dxa" w:w="1296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RF-M01-007–009, RF-M01-012–013, RF-M01-018, RF-M01-021, RF-M01-025–027, RF-M01-029, RF-M01-032–033, RF-M01-035–043, RF-M01-049–050, RF-M01-053–055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Ciclo de vida ampliado, exportación, variantes regionales, ayudas educativas, metas, sincronización y preferencias avanzadas.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M01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RF-M01-044–047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Temas, personaje guía y personalización visual avanzada.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M02</w:t>
            </w:r>
          </w:p>
        </w:tc>
        <w:tc>
          <w:tcPr>
            <w:tcW w:type="dxa" w:w="1296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RF-M02-001–008, RF-M02-012–013, RF-M02-026–031, RF-M02-037–045, RF-M02-047, RF-M02-050, RF-M02-067–089, RF-M02-091–096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Artista, obra, grabación, fuente de YouTube, créditos esenciales, derechos, disponibilidad, búsqueda y procedencia.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M02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RF-M02-009–011, RF-M02-014–025, RF-M02-032–036, RF-M02-046, RF-M02-048–049, RF-M02-051–066, RF-M02-090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Álbumes y ediciones, relaciones derivadas, géneros, franquicias, metadatos y publicación avanzada.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M03</w:t>
            </w:r>
          </w:p>
        </w:tc>
        <w:tc>
          <w:tcPr>
            <w:tcW w:type="dxa" w:w="1296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RF-M03-001–087, RF-M03-097–123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Letra japonesa, estructura, tokens, sincronización, reproductor incrustado, resaltado, accesibilidad y edición de línea de tiempo.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M03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RF-M03-088–096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Repetición por sección/A–B, marcadores, pausas y automatizaciones avanzadas de práctica.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M04</w:t>
            </w:r>
          </w:p>
        </w:tc>
        <w:tc>
          <w:tcPr>
            <w:tcW w:type="dxa" w:w="1296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RF-M04-001–051, RF-M04-054–072, RF-M04-085–099, RF-M04-111–116, RF-M04-119–157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Traducción al español literal y natural, alineación, notas, presentación sincronizada, autoría y flujo editorial.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M04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RF-M04-052–053, RF-M04-073–084, RF-M04-100–110, RF-M04-117–118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Traducción cantable/creativa, variantes e idiomas adicionales, terminología gobernada y comparación multilingüe.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M05</w:t>
            </w:r>
          </w:p>
        </w:tc>
        <w:tc>
          <w:tcPr>
            <w:tcW w:type="dxa" w:w="1296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RF-M05-001–017, RF-M05-022–025, RF-M05-028–072, RF-M05-083–102, RF-M05-106–155, RF-M05-162–205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Lecturas, furigana, romaji, vocabulario, kanji, morfología, gramática, JLPT orientativo, panel de análisis y validación.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M05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RF-M05-018–021, RF-M05-026–027, RF-M05-073–082, RF-M05-103–105, RF-M05-156–161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Ocurrencias complejas, alternativas, lexicografía enriquecida, etimología y ejemplos educativos avanzados.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M06</w:t>
            </w:r>
          </w:p>
        </w:tc>
        <w:tc>
          <w:tcPr>
            <w:tcW w:type="dxa" w:w="1296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RF-M06-001–017, RF-M06-020, RF-M06-171–185, RF-M06-199–205, RF-M06-221, RF-M06-234, RF-M06-236, RF-M06-240–241, RF-M06-243, RF-M06-247–257, RF-M06-259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Perfil de aprendizaje, evidencias y dominio general, metas, privacidad, accesibilidad, integridad y guardado seguro.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M06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RF-M06-018–019, RF-M06-041–065, RF-M06-208–212, RF-M06-219–220, RF-M06-222–233, RF-M06-235, RF-M06-237–239, RF-M06-242, RF-M06-244–246, RF-M06-258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Tarjetas personales, rachas, sincronización, importación/exportación y controles avanzados conservados en M06.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M06</w:t>
            </w:r>
          </w:p>
        </w:tc>
        <w:tc>
          <w:tcPr>
            <w:tcW w:type="dxa" w:w="1296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9C6500"/>
                <w:sz w:val="15"/>
              </w:rPr>
              <w:t>Reubicar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RF-M06-021–040, RF-M06-066–170, RF-M06-186–198, RF-M06-206–207, RF-M06-213–218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Funciones heredadas que deben trasladarse a M07, M08, M09/M17, M10, M11/M13 y M16 antes del backlog técnico.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M07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RF-M07-001–009, RF-M07-015–025, RF-M07-096–121, RF-M07-143–152, RF-M07-184–204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Sesión manual por canción, ejecución, respuesta, resumen, recuperación, evidencia, privacidad y accesibilidad.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M07</w:t>
            </w:r>
          </w:p>
        </w:tc>
        <w:tc>
          <w:tcPr>
            <w:tcW w:type="dxa" w:w="1296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RF-M07-010–014, RF-M07-026–095, RF-M07-122–142, RF-M07-153–183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Colas complejas, repetición espaciada, programación, pronósticos, planificación, migración y operación sin conexión.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M08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RF-M08-001–015, RF-M08-018, RF-M08-020–024, RF-M08-026, RF-M08-028–031, RF-M08-033, RF-M08-041, RF-M08-046–047, RF-M08-051–053, RF-M08-058–060, RF-M08-063, RF-M08-065–069, RF-M08-071–073, RF-M08-076–078, RF-M08-081–083, RF-M08-085–086, RF-M08-089–106, RF-M08-108–109, RF-M08-114–121, RF-M08-125–140, RF-M08-142–143, RF-M08-148, RF-M08-150, RF-M08-152–165, RF-M08-206–218, RF-M08-221–230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Banco mínimo, completar espacios con opciones, ejercicios contextuales seleccionados, intentos, corrección, retroalimentación y evidencia.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M08</w:t>
            </w:r>
          </w:p>
        </w:tc>
        <w:tc>
          <w:tcPr>
            <w:tcW w:type="dxa" w:w="1296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RF-M08-016–017, RF-M08-019, RF-M08-025, RF-M08-027, RF-M08-032, RF-M08-034–040, RF-M08-042–045, RF-M08-048–050, RF-M08-054–057, RF-M08-061–062, RF-M08-064, RF-M08-070, RF-M08-074–075, RF-M08-079–080, RF-M08-084, RF-M08-087–088, RF-M08-107, RF-M08-110–113, RF-M08-122–124, RF-M08-141, RF-M08-144–147, RF-M08-149, RF-M08-151, RF-M08-166–185, RF-M08-219–220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Tipos de ejercicio adicionales, rúbricas, pistas y adaptación progresiva de dificultad.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M08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RF-M08-186–205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Minijuegos, rondas, vidas, combos, puntuaciones y presentación asociada.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M09</w:t>
            </w:r>
          </w:p>
        </w:tc>
        <w:tc>
          <w:tcPr>
            <w:tcW w:type="dxa" w:w="1296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RF-M09-001–009, RF-M09-016–034, RF-M09-046–060, RF-M09-069–110, RF-M09-131–155, RF-M09-176–183, RF-M09-189, RF-M09-192–194, RF-M09-200–213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Seguimiento privado por canción, mapa básico, cobertura, competencias, reanudación, acciones y calidad del cálculo.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M09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RF-M09-010–015, RF-M09-035–045, RF-M09-061–068, RF-M09-111–130, RF-M09-156–175, RF-M09-184–188, RF-M09-190–191, RF-M09-195–199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Hitos, finalización, historial comparativo, migraciones, compartición e integraciones ampliadas.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M10</w:t>
            </w:r>
          </w:p>
        </w:tc>
        <w:tc>
          <w:tcPr>
            <w:tcW w:type="dxa" w:w="1296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RF-M10-001–055, RF-M10-191–230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Biblioteca y listas personales internas, más privacidad, accesibilidad e integridad.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M10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RF-M10-056–190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Listas públicas/curadas/colaborativas, campañas, participación, descubrimiento y recomendaciones.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M11</w:t>
            </w:r>
          </w:p>
        </w:tc>
        <w:tc>
          <w:tcPr>
            <w:tcW w:type="dxa" w:w="1296"/>
            <w:shd w:fill="F1E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RF-M11-001–230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Logros, colecciones, títulos, puntos, recompensas e inventario.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M12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RF-M12-001–230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Personajes guía, atuendos, emociones, diálogos, emotes y personalización.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M13</w:t>
            </w:r>
          </w:p>
        </w:tc>
        <w:tc>
          <w:tcPr>
            <w:tcW w:type="dxa" w:w="1296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RF-M13-001–120, RF-M13-181–230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Base de temas, escenarios, paletas, recursos, composición adaptable, accesibilidad y rendimiento.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M13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RF-M13-121–180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Efectos, partículas, visualizadores y sincronización visual musical avanzada.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M14</w:t>
            </w:r>
          </w:p>
        </w:tc>
        <w:tc>
          <w:tcPr>
            <w:tcW w:type="dxa" w:w="1296"/>
            <w:shd w:fill="F1E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RF-M14-001–230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Perfiles comunitarios, relaciones, publicaciones, conversaciones, contribuciones y comunidades.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M15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RF-M15-001–090, RF-M15-151–180, RF-M15-211–230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Objetos y revisiones editoriales, publicación, derechos/licencias, aplicación por tipo de contenido e integración segura.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M15</w:t>
            </w:r>
          </w:p>
        </w:tc>
        <w:tc>
          <w:tcPr>
            <w:tcW w:type="dxa" w:w="1296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RF-M15-181–210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Operación editorial, transparencia, calidad y accesibilidad ampliadas.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M15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RF-M15-091–150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Reportes comunitarios, investigaciones, acciones de moderación y apelaciones.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M16</w:t>
            </w:r>
          </w:p>
        </w:tc>
        <w:tc>
          <w:tcPr>
            <w:tcW w:type="dxa" w:w="1296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RF-M16-001–230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Centro interno de notificaciones, preferencias, plantillas, recordatorios y entrega; canales externos quedan condicionados.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M17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RF-M17-001–230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Métricas, estadísticas, paneles, informes y exportaciones posteriores a la estabilización del modelo canónico.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M18</w:t>
            </w:r>
          </w:p>
        </w:tc>
        <w:tc>
          <w:tcPr>
            <w:tcW w:type="dxa" w:w="1296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RF-M18-001–015, RF-M18-021–045, RF-M18-061–075, RF-M18-091–110, RF-M18-151–165, RF-M18-181–195, RF-M18-206–230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Identidad, acceso, sesiones, roles mínimos, controles, auditoría e integración segura.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M18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RF-M18-016–020, RF-M18-046–060, RF-M18-076–090, RF-M18-111–150, RF-M18-166–180, RF-M18-196–205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MFA y recuperación ampliada, dispositivos/tokens avanzados, privilegios, incidentes e investigaciones completas.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M19</w:t>
            </w:r>
          </w:p>
        </w:tc>
        <w:tc>
          <w:tcPr>
            <w:tcW w:type="dxa" w:w="1296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396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RF-M19-001–020, RF-M19-031–050, RF-M19-061–080, RF-M19-151–175, RF-M19-181–200, RF-M19-211–230</w:t>
            </w:r>
          </w:p>
        </w:tc>
        <w:tc>
          <w:tcPr>
            <w:tcW w:type="dxa" w:w="38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Catálogos y entradas mínimos, parámetros, publicación versionada, operación administrativa e integración.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M19</w:t>
            </w:r>
          </w:p>
        </w:tc>
        <w:tc>
          <w:tcPr>
            <w:tcW w:type="dxa" w:w="12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RF-M19-021–030, RF-M19-051–060, RF-M19-081–150, RF-M19-176–180, RF-M19-201–210</w:t>
            </w:r>
          </w:p>
        </w:tc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Jerarquías, localización ampliada, flujos, límites, calendarios, retención e importaciones avanzadas.</w:t>
            </w:r>
          </w:p>
        </w:tc>
      </w:tr>
    </w:tbl>
    <w:p>
      <w:pPr>
        <w:spacing w:after="20"/>
      </w:pPr>
    </w:p>
    <w:p>
      <w:pPr>
        <w:pStyle w:val="Heading1"/>
      </w:pPr>
      <w:r>
        <w:t>7. Flujos funcionales y trazabilidad transversal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Flujo</w:t>
            </w:r>
          </w:p>
        </w:tc>
        <w:tc>
          <w:tcPr>
            <w:tcW w:type="dxa" w:w="187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Nombre</w:t>
            </w:r>
          </w:p>
        </w:tc>
        <w:tc>
          <w:tcPr>
            <w:tcW w:type="dxa" w:w="1728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Módulos</w:t>
            </w:r>
          </w:p>
        </w:tc>
        <w:tc>
          <w:tcPr>
            <w:tcW w:type="dxa" w:w="5544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F01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Cuenta y acceso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M01, M18, M19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La cuenta se registra, verifica, autentica y autoriza con valores configurados y evidencia de auditoría.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F02</w:t>
            </w:r>
          </w:p>
        </w:tc>
        <w:tc>
          <w:tcPr>
            <w:tcW w:type="dxa" w:w="18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Curaduría musical</w:t>
            </w:r>
          </w:p>
        </w:tc>
        <w:tc>
          <w:tcPr>
            <w:tcW w:type="dxa" w:w="17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M02, M15, M18, M19</w:t>
            </w:r>
          </w:p>
        </w:tc>
        <w:tc>
          <w:tcPr>
            <w:tcW w:type="dxa" w:w="554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Un editor registra la canción y su fuente; derechos, procedencia, revisión y publicación quedan controlados.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F03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Letra sincronizada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M03, M15, M18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La letra se estructura y sincroniza con la grabación exacta; la revisión publicada permanece identificable.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F04</w:t>
            </w:r>
          </w:p>
        </w:tc>
        <w:tc>
          <w:tcPr>
            <w:tcW w:type="dxa" w:w="18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Traducción al español</w:t>
            </w:r>
          </w:p>
        </w:tc>
        <w:tc>
          <w:tcPr>
            <w:tcW w:type="dxa" w:w="17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M04, M15</w:t>
            </w:r>
          </w:p>
        </w:tc>
        <w:tc>
          <w:tcPr>
            <w:tcW w:type="dxa" w:w="554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La traducción literal/natural se alinea con la letra y conserva autoría, revisión y notas.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F05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Análisis japonés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M05, M15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Lecturas, furigana, romaji, vocabulario, kanji y gramática se vinculan a tokens canónicos.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F06</w:t>
            </w:r>
          </w:p>
        </w:tc>
        <w:tc>
          <w:tcPr>
            <w:tcW w:type="dxa" w:w="18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Reproducción educativa</w:t>
            </w:r>
          </w:p>
        </w:tc>
        <w:tc>
          <w:tcPr>
            <w:tcW w:type="dxa" w:w="17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M01, M03, M04, M05</w:t>
            </w:r>
          </w:p>
        </w:tc>
        <w:tc>
          <w:tcPr>
            <w:tcW w:type="dxa" w:w="554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 usuario reproduce y cambia ayudas sin perder la línea activa ni alterar el contenido canónico.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F07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Actividad contextual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M07, M08, M06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 usuario inicia una actividad, responde, recibe evaluación y produce evidencia confirmada.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F08</w:t>
            </w:r>
          </w:p>
        </w:tc>
        <w:tc>
          <w:tcPr>
            <w:tcW w:type="dxa" w:w="18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Progreso por canción</w:t>
            </w:r>
          </w:p>
        </w:tc>
        <w:tc>
          <w:tcPr>
            <w:tcW w:type="dxa" w:w="17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M06, M09</w:t>
            </w:r>
          </w:p>
        </w:tc>
        <w:tc>
          <w:tcPr>
            <w:tcW w:type="dxa" w:w="554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La evidencia alimenta cobertura y progreso privado sin confundir exposición, práctica y dominio.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F09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Continuidad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M01, M07, M09</w:t>
            </w:r>
          </w:p>
        </w:tc>
        <w:tc>
          <w:tcPr>
            <w:tcW w:type="dxa" w:w="55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El sistema conserva preferencias, respuestas confirmadas y punto de reanudación.</w:t>
            </w:r>
          </w:p>
        </w:tc>
      </w:tr>
      <w:tr>
        <w:trPr>
          <w:cantSplit/>
        </w:trPr>
        <w:tc>
          <w:tcPr>
            <w:tcW w:type="dxa" w:w="79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F10</w:t>
            </w:r>
          </w:p>
        </w:tc>
        <w:tc>
          <w:tcPr>
            <w:tcW w:type="dxa" w:w="18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Gobierno y seguridad</w:t>
            </w:r>
          </w:p>
        </w:tc>
        <w:tc>
          <w:tcPr>
            <w:tcW w:type="dxa" w:w="17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M15, M18, M19</w:t>
            </w:r>
          </w:p>
        </w:tc>
        <w:tc>
          <w:tcPr>
            <w:tcW w:type="dxa" w:w="554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Contenido, permisos, catálogos y acciones administrativas permanecen versionados y auditables.</w:t>
            </w:r>
          </w:p>
        </w:tc>
      </w:tr>
    </w:tbl>
    <w:p>
      <w:pPr>
        <w:spacing w:after="20"/>
      </w:pPr>
    </w:p>
    <w:p>
      <w:pPr>
        <w:pStyle w:val="Heading2"/>
      </w:pPr>
      <w:r>
        <w:t>7.1 Orden de habilitación recomendado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Fundación: M18 y M19 mínimos, junto con M01 para identidad y preferencias.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Contenido canónico: M02, M03, M04 y M05 con curaduría de M15.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Experiencia de aprendizaje: presentación integrada de M03–M05 y preferencias de M01.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Práctica: M08 con la ejecución mínima de M07.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Evidencia y progreso: M06 y M09.</w:t>
      </w:r>
    </w:p>
    <w:p>
      <w:pPr>
        <w:pStyle w:val="ListNumber"/>
        <w:spacing w:after="80"/>
      </w:pPr>
      <w:r>
        <w:rPr>
          <w:rFonts w:ascii="Aptos" w:hAnsi="Aptos"/>
          <w:b w:val="0"/>
          <w:i w:val="0"/>
          <w:sz w:val="19"/>
        </w:rPr>
        <w:t>Estabilización del recorrido completo antes de incorporar P1 o P2.</w:t>
      </w:r>
    </w:p>
    <w:p>
      <w:pPr>
        <w:pStyle w:val="Heading1"/>
      </w:pPr>
      <w:r>
        <w:t>8. Fuera del MVP 1.0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Listas públicas, colaborativas o curadas; campañas y recomendaciones de descubrimiento.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Logros, puntos, colecciones, inventario, recompensas y niveles motivacionales.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Personajes guía, diálogos, atuendos, emotes y personalización desbloqueable.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Partículas, visualizadores y efectos complejos sincronizados con la música; el MVP utiliza una presentación funcional y accesible.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Perfiles comunitarios, seguidores, publicaciones, comentarios, reacciones, mensajería y grupos.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Reportes de usuarios, investigaciones de comunidad, sanciones y apelaciones; se conserva únicamente el flujo editorial interno necesario.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Canales externos de notificación, automatizaciones de mensajería y comunicaciones masivas.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Paneles transversales e informes completos; el MVP muestra únicamente el progreso funcional de la canción.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Operación sin conexión, migraciones complejas de algoritmos y sincronización avanzada entre varios dispositivos.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sz w:val="19"/>
        </w:rPr>
        <w:t>Traducción, transcripción o análisis mediante servicios externos; tampoco se incluye scraping automático.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9936"/>
            <w:shd w:fill="F1E7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7030A0"/>
                <w:sz w:val="20"/>
              </w:rPr>
              <w:t>Fuera del MVP no significa eliminado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Los requisitos P1 y P2 permanecen en la línea base y conservan sus identificadores. Solo quedan excluidos de la primera entrega para impedir que el alcance completo bloquee la validación del valor principal.</w:t>
            </w:r>
          </w:p>
        </w:tc>
      </w:tr>
    </w:tbl>
    <w:p>
      <w:pPr>
        <w:spacing w:after="20"/>
      </w:pPr>
    </w:p>
    <w:p>
      <w:pPr>
        <w:pStyle w:val="Heading1"/>
      </w:pPr>
      <w:r>
        <w:t>9. Normalización necesaria antes del backlog</w:t>
      </w:r>
    </w:p>
    <w:p>
      <w:r>
        <w:t>M06 conserva requisitos redactados antes de separar formalmente M07–M17. Implementarlos literalmente en ambos módulos produciría duplicación de entidades, servicios y reglas. Se adopta la siguiente decisión de propiedad canónica: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9C65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Rango heredado</w:t>
            </w:r>
          </w:p>
        </w:tc>
        <w:tc>
          <w:tcPr>
            <w:tcW w:type="dxa" w:w="1655"/>
            <w:shd w:fill="9C65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Propietario</w:t>
            </w:r>
          </w:p>
        </w:tc>
        <w:tc>
          <w:tcPr>
            <w:tcW w:type="dxa" w:w="6048"/>
            <w:shd w:fill="9C65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RF-M06-021–040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M10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Biblioteca, listas y organización personal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RF-M06-066–115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M07</w:t>
            </w:r>
          </w:p>
        </w:tc>
        <w:tc>
          <w:tcPr>
            <w:tcW w:type="dxa" w:w="604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Programación, repetición espaciada y sesiones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RF-M06-116–170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M08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Banco de ejercicios, intentos, evaluación y pruebas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RF-M06-186–191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M17 / M09</w:t>
            </w:r>
          </w:p>
        </w:tc>
        <w:tc>
          <w:tcPr>
            <w:tcW w:type="dxa" w:w="604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Estadísticas y progreso específico por canción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RF-M06-192–198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M17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Progreso por nivel, estadísticas y exportación</w:t>
            </w:r>
          </w:p>
        </w:tc>
      </w:tr>
      <w:tr>
        <w:trPr>
          <w:cantSplit/>
        </w:trPr>
        <w:tc>
          <w:tcPr>
            <w:tcW w:type="dxa" w:w="223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RF-M06-206–207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M16</w:t>
            </w:r>
          </w:p>
        </w:tc>
        <w:tc>
          <w:tcPr>
            <w:tcW w:type="dxa" w:w="604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Recordatorios y horarios silenciosos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RF-M06-213–218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M11 / M13</w:t>
            </w:r>
          </w:p>
        </w:tc>
        <w:tc>
          <w:tcPr>
            <w:tcW w:type="dxa" w:w="60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Logros, experiencia, niveles y celebraciones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993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9C6500"/>
                <w:sz w:val="20"/>
              </w:rPr>
              <w:t>Regla de trazabilidad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Los identificadores heredados no se borran del maestro. Se marcan como reubicados y se enlazan con los requisitos canónicos del módulo propietario. El backlog no debe crear dos historias para el mismo comportamiento.</w:t>
            </w:r>
          </w:p>
        </w:tc>
      </w:tr>
    </w:tbl>
    <w:p>
      <w:pPr>
        <w:spacing w:after="20"/>
      </w:pPr>
    </w:p>
    <w:p>
      <w:pPr>
        <w:pStyle w:val="Heading1"/>
      </w:pPr>
      <w:r>
        <w:t>10. Criterios de salida del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7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1655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Área</w:t>
            </w:r>
          </w:p>
        </w:tc>
        <w:tc>
          <w:tcPr>
            <w:tcW w:type="dxa" w:w="727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Criterio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CE-01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Cuenta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Una persona puede registrarse, iniciar sesión y acceder únicamente a acciones autorizadas.</w:t>
            </w:r>
          </w:p>
        </w:tc>
      </w:tr>
      <w:tr>
        <w:trPr>
          <w:cantSplit/>
        </w:trPr>
        <w:tc>
          <w:tcPr>
            <w:tcW w:type="dxa" w:w="1007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CE-02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Catálogo</w:t>
            </w:r>
          </w:p>
        </w:tc>
        <w:tc>
          <w:tcPr>
            <w:tcW w:type="dxa" w:w="72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Puede localizar y abrir una canción publicada con artista, grabación y fuente correctos.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CE-03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Reproducción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El video incrustado se reproduce y la línea japonesa activa cambia según la sincronización publicada.</w:t>
            </w:r>
          </w:p>
        </w:tc>
      </w:tr>
      <w:tr>
        <w:trPr>
          <w:cantSplit/>
        </w:trPr>
        <w:tc>
          <w:tcPr>
            <w:tcW w:type="dxa" w:w="1007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CE-04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Presentación</w:t>
            </w:r>
          </w:p>
        </w:tc>
        <w:tc>
          <w:tcPr>
            <w:tcW w:type="dxa" w:w="72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El usuario puede consultar japonés, furigana/kana, romaji y español conforme a las opciones P0.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CE-05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Análisis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Una línea puede abrir lecturas, vocabulario, kanji y gramática vinculados sin copiar ni desalinear el texto fuente.</w:t>
            </w:r>
          </w:p>
        </w:tc>
      </w:tr>
      <w:tr>
        <w:trPr>
          <w:cantSplit/>
        </w:trPr>
        <w:tc>
          <w:tcPr>
            <w:tcW w:type="dxa" w:w="1007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CE-06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Ejercicio</w:t>
            </w:r>
          </w:p>
        </w:tc>
        <w:tc>
          <w:tcPr>
            <w:tcW w:type="dxa" w:w="72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La modalidad de completar espacios con opciones registra respuesta, corrección y retroalimentación reproducibles.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CE-07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Progreso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Una evidencia confirmada actualiza el progreso privado de la canción una sola vez y puede explicarse.</w:t>
            </w:r>
          </w:p>
        </w:tc>
      </w:tr>
      <w:tr>
        <w:trPr>
          <w:cantSplit/>
        </w:trPr>
        <w:tc>
          <w:tcPr>
            <w:tcW w:type="dxa" w:w="1007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CE-08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Continuidad</w:t>
            </w:r>
          </w:p>
        </w:tc>
        <w:tc>
          <w:tcPr>
            <w:tcW w:type="dxa" w:w="72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Al cerrar y volver, permanecen preferencias, respuestas confirmadas y punto de reanudación.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CE-09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Curaduría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Un actor autorizado puede preparar y publicar el contenido completo sin editar directamente la base de datos.</w:t>
            </w:r>
          </w:p>
        </w:tc>
      </w:tr>
      <w:tr>
        <w:trPr>
          <w:cantSplit/>
        </w:trPr>
        <w:tc>
          <w:tcPr>
            <w:tcW w:type="dxa" w:w="1007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CE-10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Derechos</w:t>
            </w:r>
          </w:p>
        </w:tc>
        <w:tc>
          <w:tcPr>
            <w:tcW w:type="dxa" w:w="72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Toda canción, letra, traducción y recurso publicado conserva procedencia, estado y alcance de uso.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CE-11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Privacidad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Progreso, respuestas y notas no son públicos ni se comparten sin una función y acción explícitas.</w:t>
            </w:r>
          </w:p>
        </w:tc>
      </w:tr>
      <w:tr>
        <w:trPr>
          <w:cantSplit/>
        </w:trPr>
        <w:tc>
          <w:tcPr>
            <w:tcW w:type="dxa" w:w="1007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CE-12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Independencia</w:t>
            </w:r>
          </w:p>
        </w:tc>
        <w:tc>
          <w:tcPr>
            <w:tcW w:type="dxa" w:w="72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Durante el flujo no se invoca ninguna API externa distinta del reproductor incrustado de YouTube.</w:t>
            </w:r>
          </w:p>
        </w:tc>
      </w:tr>
      <w:tr>
        <w:trPr>
          <w:cantSplit/>
        </w:trPr>
        <w:tc>
          <w:tcPr>
            <w:tcW w:type="dxa" w:w="100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CE-13</w:t>
            </w:r>
          </w:p>
        </w:tc>
        <w:tc>
          <w:tcPr>
            <w:tcW w:type="dxa" w:w="16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Accesibilidad</w:t>
            </w:r>
          </w:p>
        </w:tc>
        <w:tc>
          <w:tcPr>
            <w:tcW w:type="dxa" w:w="72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El recorrido esencial funciona mediante teclado y no depende únicamente de color o animación.</w:t>
            </w:r>
          </w:p>
        </w:tc>
      </w:tr>
      <w:tr>
        <w:trPr>
          <w:cantSplit/>
        </w:trPr>
        <w:tc>
          <w:tcPr>
            <w:tcW w:type="dxa" w:w="1007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CE-14</w:t>
            </w:r>
          </w:p>
        </w:tc>
        <w:tc>
          <w:tcPr>
            <w:tcW w:type="dxa" w:w="1655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Auditoría</w:t>
            </w:r>
          </w:p>
        </w:tc>
        <w:tc>
          <w:tcPr>
            <w:tcW w:type="dxa" w:w="727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Publicaciones, cambios protegidos y correcciones administrativas conservan actor, fecha, motivo y objeto.</w:t>
            </w:r>
          </w:p>
        </w:tc>
      </w:tr>
    </w:tbl>
    <w:p>
      <w:pPr>
        <w:spacing w:after="20"/>
      </w:pPr>
    </w:p>
    <w:p>
      <w:r>
        <w:t>Estos criterios son puertas funcionales de alcance. Sus umbrales de rendimiento, disponibilidad, seguridad, compatibilidad y accesibilidad se fijarán en el documento de requerimientos no funcionales.</w:t>
      </w:r>
    </w:p>
    <w:p>
      <w:pPr>
        <w:pStyle w:val="Heading1"/>
      </w:pPr>
      <w:r>
        <w:t>11. Riesgos y control de cambios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76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Riesgo</w:t>
            </w:r>
          </w:p>
        </w:tc>
        <w:tc>
          <w:tcPr>
            <w:tcW w:type="dxa" w:w="223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Efecto</w:t>
            </w:r>
          </w:p>
        </w:tc>
        <w:tc>
          <w:tcPr>
            <w:tcW w:type="dxa" w:w="5328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 de alcance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Derechos de letras y traducciones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Bloqueo de publicación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Curaduría, procedencia y alcance de uso obligatorios desde M02/M04/M15.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Disponibilidad o cambios de YouTube</w:t>
            </w:r>
          </w:p>
        </w:tc>
        <w:tc>
          <w:tcPr>
            <w:tcW w:type="dxa" w:w="223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Reproducción interrumpida</w:t>
            </w:r>
          </w:p>
        </w:tc>
        <w:tc>
          <w:tcPr>
            <w:tcW w:type="dxa" w:w="53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Separar fuente audiovisual de contenido educativo y permitir sustitución controlada de la referencia.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Volumen editorial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El catálogo crece más lento que el software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Validar primero una cadena completa de curaduría y después dimensionar el plan de contenidos.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Ambigüedad lingüística</w:t>
            </w:r>
          </w:p>
        </w:tc>
        <w:tc>
          <w:tcPr>
            <w:tcW w:type="dxa" w:w="223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Correcciones injustas</w:t>
            </w:r>
          </w:p>
        </w:tc>
        <w:tc>
          <w:tcPr>
            <w:tcW w:type="dxa" w:w="53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Usar revisiones, respuestas alternativas, reportes y recalificación trazable.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Duplicación entre módulos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Datos y reglas contradictorios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Aplicar la normalización de M06 y un único propietario canónico por objeto.</w:t>
            </w:r>
          </w:p>
        </w:tc>
      </w:tr>
      <w:tr>
        <w:trPr>
          <w:cantSplit/>
        </w:trPr>
        <w:tc>
          <w:tcPr>
            <w:tcW w:type="dxa" w:w="237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7"/>
              </w:rPr>
              <w:t>Alcance expansivo</w:t>
            </w:r>
          </w:p>
        </w:tc>
        <w:tc>
          <w:tcPr>
            <w:tcW w:type="dxa" w:w="2232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El MVP no termina</w:t>
            </w:r>
          </w:p>
        </w:tc>
        <w:tc>
          <w:tcPr>
            <w:tcW w:type="dxa" w:w="53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7"/>
              </w:rPr>
              <w:t>Todo RF nuevo debe indicar prioridad, versión, módulo propietario y efecto sobre los criterios CE-01–CE-14.</w:t>
            </w:r>
          </w:p>
        </w:tc>
      </w:tr>
    </w:tbl>
    <w:p>
      <w:pPr>
        <w:spacing w:after="20"/>
      </w:pPr>
    </w:p>
    <w:p>
      <w:pPr>
        <w:pStyle w:val="Heading2"/>
      </w:pPr>
      <w:r>
        <w:t>11.1 Regla de cambio</w:t>
      </w:r>
    </w:p>
    <w:p>
      <w:r>
        <w:t>Un requisito cambia de versión únicamente mediante una decisión registrada que identifique el requisito, motivo, dependencias, costo o riesgo esperado y criterios de salida afectados. Agregar una pantalla, algoritmo o integración sin identificador de trazabilidad no modifica esta línea base.</w:t>
      </w:r>
    </w:p>
    <w:p>
      <w:pPr>
        <w:pStyle w:val="Heading1"/>
      </w:pPr>
      <w:r>
        <w:t>12. Próximo entregable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  <w:cantSplit/>
        </w:trPr>
        <w:tc>
          <w:tcPr>
            <w:tcW w:type="dxa" w:w="9936"/>
            <w:shd w:fill="EEF5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1F4E78"/>
                <w:sz w:val="20"/>
              </w:rPr>
              <w:t>Requerimientos no funcionales medibles del MVP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sz w:val="18"/>
              </w:rPr>
              <w:t>Con el alcance funcional delimitado, el siguiente documento debe fijar rendimiento, disponibilidad, respaldo, seguridad, privacidad, accesibilidad, compatibilidad, observabilidad, escalabilidad y recuperación mediante valores verificables. Después podrán redactarse casos de uso y criterios de aceptación detallados únicamente para los RF P0.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Anexo A. Matriz exacta de trazabilidad de RF</w:t>
      </w:r>
    </w:p>
    <w:p>
      <w:r>
        <w:t>Cada identificador RF-M01–RF-M19 aparece exactamente una vez en una de las decisiones siguientes. Los rangos usan numeración inclusiva.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720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Mód.</w:t>
            </w:r>
          </w:p>
        </w:tc>
        <w:tc>
          <w:tcPr>
            <w:tcW w:type="dxa" w:w="115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Destino</w:t>
            </w:r>
          </w:p>
        </w:tc>
        <w:tc>
          <w:tcPr>
            <w:tcW w:type="dxa" w:w="720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Cant.</w:t>
            </w:r>
          </w:p>
        </w:tc>
        <w:tc>
          <w:tcPr>
            <w:tcW w:type="dxa" w:w="3816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Identificadores</w:t>
            </w:r>
          </w:p>
        </w:tc>
        <w:tc>
          <w:tcPr>
            <w:tcW w:type="dxa" w:w="3528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Cobertura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25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RF-M01-001–006, RF-M01-010–011, RF-M01-014–017, RF-M01-019–020, RF-M01-022–024, RF-M01-028, RF-M01-030–031, RF-M01-034, RF-M01-048, RF-M01-051–052, RF-M01-056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Cuenta básica; español como interfaz y traducción principal; presentación de japonés; accesibilidad, privacidad y consentimiento mínimos.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M01</w:t>
            </w:r>
          </w:p>
        </w:tc>
        <w:tc>
          <w:tcPr>
            <w:tcW w:type="dxa" w:w="1152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27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RF-M01-007–009, RF-M01-012–013, RF-M01-018, RF-M01-021, RF-M01-025–027, RF-M01-029, RF-M01-032–033, RF-M01-035–043, RF-M01-049–050, RF-M01-053–055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Ciclo de vida ampliado, exportación, variantes regionales, ayudas educativas, metas, sincronización y preferencias avanzadas.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4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RF-M01-044–047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Temas, personaje guía y personalización visual avanzada.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M02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56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RF-M02-001–008, RF-M02-012–013, RF-M02-026–031, RF-M02-037–045, RF-M02-047, RF-M02-050, RF-M02-067–089, RF-M02-091–096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Artista, obra, grabación, fuente de YouTube, créditos esenciales, derechos, disponibilidad, búsqueda y procedencia.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M02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40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RF-M02-009–011, RF-M02-014–025, RF-M02-032–036, RF-M02-046, RF-M02-048–049, RF-M02-051–066, RF-M02-090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Álbumes y ediciones, relaciones derivadas, géneros, franquicias, metadatos y publicación avanzada.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M03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114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RF-M03-001–087, RF-M03-097–123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Letra japonesa, estructura, tokens, sincronización, reproductor incrustado, resaltado, accesibilidad y edición de línea de tiempo.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M03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9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RF-M03-088–096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Repetición por sección/A–B, marcadores, pausas y automatizaciones avanzadas de práctica.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M04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130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RF-M04-001–051, RF-M04-054–072, RF-M04-085–099, RF-M04-111–116, RF-M04-119–157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Traducción al español literal y natural, alineación, notas, presentación sincronizada, autoría y flujo editorial.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M04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27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RF-M04-052–053, RF-M04-073–084, RF-M04-100–110, RF-M04-117–118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Traducción cantable/creativa, variantes e idiomas adicionales, terminología gobernada y comparación multilingüe.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M05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180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RF-M05-001–017, RF-M05-022–025, RF-M05-028–072, RF-M05-083–102, RF-M05-106–155, RF-M05-162–205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Lecturas, furigana, romaji, vocabulario, kanji, morfología, gramática, JLPT orientativo, panel de análisis y validación.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25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RF-M05-018–021, RF-M05-026–027, RF-M05-073–082, RF-M05-103–105, RF-M05-156–161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Ocurrencias complejas, alternativas, lexicografía enriquecida, etimología y ejemplos educativos avanzados.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M06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58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RF-M06-001–017, RF-M06-020, RF-M06-171–185, RF-M06-199–205, RF-M06-221, RF-M06-234, RF-M06-236, RF-M06-240–241, RF-M06-243, RF-M06-247–257, RF-M06-259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Perfil de aprendizaje, evidencias y dominio general, metas, privacidad, accesibilidad, integridad y guardado seguro.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M06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55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RF-M06-018–019, RF-M06-041–065, RF-M06-208–212, RF-M06-219–220, RF-M06-222–233, RF-M06-235, RF-M06-237–239, RF-M06-242, RF-M06-244–246, RF-M06-258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Tarjetas personales, rachas, sincronización, importación/exportación y controles avanzados conservados en M06.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M06</w:t>
            </w:r>
          </w:p>
        </w:tc>
        <w:tc>
          <w:tcPr>
            <w:tcW w:type="dxa" w:w="1152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9C6500"/>
                <w:sz w:val="15"/>
              </w:rPr>
              <w:t>Reubicar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146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RF-M06-021–040, RF-M06-066–170, RF-M06-186–198, RF-M06-206–207, RF-M06-213–218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Funciones heredadas que deben trasladarse a M07, M08, M09/M17, M10, M11/M13 y M16 antes del backlog técnico.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M07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77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RF-M07-001–009, RF-M07-015–025, RF-M07-096–121, RF-M07-143–152, RF-M07-184–204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Sesión manual por canción, ejecución, respuesta, resumen, recuperación, evidencia, privacidad y accesibilidad.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M07</w:t>
            </w:r>
          </w:p>
        </w:tc>
        <w:tc>
          <w:tcPr>
            <w:tcW w:type="dxa" w:w="1152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127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RF-M07-010–014, RF-M07-026–095, RF-M07-122–142, RF-M07-153–183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Colas complejas, repetición espaciada, programación, pronósticos, planificación, migración y operación sin conexión.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M08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138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RF-M08-001–015, RF-M08-018, RF-M08-020–024, RF-M08-026, RF-M08-028–031, RF-M08-033, RF-M08-041, RF-M08-046–047, RF-M08-051–053, RF-M08-058–060, RF-M08-063, RF-M08-065–069, RF-M08-071–073, RF-M08-076–078, RF-M08-081–083, RF-M08-085–086, RF-M08-089–106, RF-M08-108–109, RF-M08-114–121, RF-M08-125–140, RF-M08-142–143, RF-M08-148, RF-M08-150, RF-M08-152–165, RF-M08-206–218, RF-M08-221–230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Banco mínimo, completar espacios con opciones, ejercicios contextuales seleccionados, intentos, corrección, retroalimentación y evidencia.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M08</w:t>
            </w:r>
          </w:p>
        </w:tc>
        <w:tc>
          <w:tcPr>
            <w:tcW w:type="dxa" w:w="1152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72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RF-M08-016–017, RF-M08-019, RF-M08-025, RF-M08-027, RF-M08-032, RF-M08-034–040, RF-M08-042–045, RF-M08-048–050, RF-M08-054–057, RF-M08-061–062, RF-M08-064, RF-M08-070, RF-M08-074–075, RF-M08-079–080, RF-M08-084, RF-M08-087–088, RF-M08-107, RF-M08-110–113, RF-M08-122–124, RF-M08-141, RF-M08-144–147, RF-M08-149, RF-M08-151, RF-M08-166–185, RF-M08-219–220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Tipos de ejercicio adicionales, rúbricas, pistas y adaptación progresiva de dificultad.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M08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20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RF-M08-186–205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Minijuegos, rondas, vidas, combos, puntuaciones y presentación asociada.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M09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136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RF-M09-001–009, RF-M09-016–034, RF-M09-046–060, RF-M09-069–110, RF-M09-131–155, RF-M09-176–183, RF-M09-189, RF-M09-192–194, RF-M09-200–213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Seguimiento privado por canción, mapa básico, cobertura, competencias, reanudación, acciones y calidad del cálculo.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M09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77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RF-M09-010–015, RF-M09-035–045, RF-M09-061–068, RF-M09-111–130, RF-M09-156–175, RF-M09-184–188, RF-M09-190–191, RF-M09-195–199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Hitos, finalización, historial comparativo, migraciones, compartición e integraciones ampliadas.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M10</w:t>
            </w:r>
          </w:p>
        </w:tc>
        <w:tc>
          <w:tcPr>
            <w:tcW w:type="dxa" w:w="1152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95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RF-M10-001–055, RF-M10-191–230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Biblioteca y listas personales internas, más privacidad, accesibilidad e integridad.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M10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135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RF-M10-056–190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Listas públicas/curadas/colaborativas, campañas, participación, descubrimiento y recomendaciones.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M11</w:t>
            </w:r>
          </w:p>
        </w:tc>
        <w:tc>
          <w:tcPr>
            <w:tcW w:type="dxa" w:w="1152"/>
            <w:shd w:fill="F1E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230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RF-M11-001–230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Logros, colecciones, títulos, puntos, recompensas e inventario.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M12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230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RF-M12-001–230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Personajes guía, atuendos, emociones, diálogos, emotes y personalización.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M13</w:t>
            </w:r>
          </w:p>
        </w:tc>
        <w:tc>
          <w:tcPr>
            <w:tcW w:type="dxa" w:w="1152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170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RF-M13-001–120, RF-M13-181–230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Base de temas, escenarios, paletas, recursos, composición adaptable, accesibilidad y rendimiento.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M13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RF-M13-121–180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Efectos, partículas, visualizadores y sincronización visual musical avanzada.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M14</w:t>
            </w:r>
          </w:p>
        </w:tc>
        <w:tc>
          <w:tcPr>
            <w:tcW w:type="dxa" w:w="1152"/>
            <w:shd w:fill="F1E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230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RF-M14-001–230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Perfiles comunitarios, relaciones, publicaciones, conversaciones, contribuciones y comunidades.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140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RF-M15-001–090, RF-M15-151–180, RF-M15-211–230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Objetos y revisiones editoriales, publicación, derechos/licencias, aplicación por tipo de contenido e integración segura.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M15</w:t>
            </w:r>
          </w:p>
        </w:tc>
        <w:tc>
          <w:tcPr>
            <w:tcW w:type="dxa" w:w="1152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30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RF-M15-181–210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Operación editorial, transparencia, calidad y accesibilidad ampliadas.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RF-M15-091–150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Reportes comunitarios, investigaciones, acciones de moderación y apelaciones.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M16</w:t>
            </w:r>
          </w:p>
        </w:tc>
        <w:tc>
          <w:tcPr>
            <w:tcW w:type="dxa" w:w="1152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230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RF-M16-001–230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Centro interno de notificaciones, preferencias, plantillas, recordatorios y entrega; canales externos quedan condicionados.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M17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230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RF-M17-001–230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Métricas, estadísticas, paneles, informes y exportaciones posteriores a la estabilización del modelo canónico.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M18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130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RF-M18-001–015, RF-M18-021–045, RF-M18-061–075, RF-M18-091–110, RF-M18-151–165, RF-M18-181–195, RF-M18-206–230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Identidad, acceso, sesiones, roles mínimos, controles, auditoría e integración segura.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M18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100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RF-M18-016–020, RF-M18-046–060, RF-M18-076–090, RF-M18-111–150, RF-M18-166–180, RF-M18-196–205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MFA y recuperación ampliada, dispositivos/tokens avanzados, privilegios, incidentes e investigaciones completas.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M19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125</w:t>
            </w:r>
          </w:p>
        </w:tc>
        <w:tc>
          <w:tcPr>
            <w:tcW w:type="dxa" w:w="3816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RF-M19-001–020, RF-M19-031–050, RF-M19-061–080, RF-M19-151–175, RF-M19-181–200, RF-M19-211–230</w:t>
            </w:r>
          </w:p>
        </w:tc>
        <w:tc>
          <w:tcPr>
            <w:tcW w:type="dxa" w:w="352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Catálogos y entradas mínimos, parámetros, publicación versionada, operación administrativa e integración.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M19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105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RF-M19-021–030, RF-M19-051–060, RF-M19-081–150, RF-M19-176–180, RF-M19-201–210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Jerarquías, localización ampliada, flujos, límites, calendarios, retención e importaciones avanzadas.</w:t>
            </w:r>
          </w:p>
        </w:tc>
      </w:tr>
    </w:tbl>
    <w:p>
      <w:pPr>
        <w:spacing w:after="20"/>
      </w:pPr>
    </w:p>
    <w:p>
      <w:pPr>
        <w:pStyle w:val="Heading1"/>
      </w:pPr>
      <w:r>
        <w:t>Anexo B. Matriz exacta de trazabilidad de RN</w:t>
      </w:r>
    </w:p>
    <w:p>
      <w:r>
        <w:t>Las reglas se asignan al primer incremento del módulo. Su aplicación efectiva permanece condicionada a que la capacidad relacionada esté habilitada.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720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Mód.</w:t>
            </w:r>
          </w:p>
        </w:tc>
        <w:tc>
          <w:tcPr>
            <w:tcW w:type="dxa" w:w="1152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Destino</w:t>
            </w:r>
          </w:p>
        </w:tc>
        <w:tc>
          <w:tcPr>
            <w:tcW w:type="dxa" w:w="720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Cant.</w:t>
            </w:r>
          </w:p>
        </w:tc>
        <w:tc>
          <w:tcPr>
            <w:tcW w:type="dxa" w:w="3024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Identificadores</w:t>
            </w:r>
          </w:p>
        </w:tc>
        <w:tc>
          <w:tcPr>
            <w:tcW w:type="dxa" w:w="4320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Tratamiento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18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RN-M01-001–018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usuarios y preferencias.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M02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26</w:t>
            </w:r>
          </w:p>
        </w:tc>
        <w:tc>
          <w:tcPr>
            <w:tcW w:type="dxa" w:w="30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RN-M02-001–026</w:t>
            </w:r>
          </w:p>
        </w:tc>
        <w:tc>
          <w:tcPr>
            <w:tcW w:type="dxa" w:w="43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catálogo musical.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M03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34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RN-M03-001–034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reproducción, letras y sincronización.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M04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44</w:t>
            </w:r>
          </w:p>
        </w:tc>
        <w:tc>
          <w:tcPr>
            <w:tcW w:type="dxa" w:w="30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RN-M04-001–044</w:t>
            </w:r>
          </w:p>
        </w:tc>
        <w:tc>
          <w:tcPr>
            <w:tcW w:type="dxa" w:w="43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traducciones multilingües y anotaciones.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49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RN-M05-001–049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aprendizaje del japonés y análisis lingüístico.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M06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56</w:t>
            </w:r>
          </w:p>
        </w:tc>
        <w:tc>
          <w:tcPr>
            <w:tcW w:type="dxa" w:w="30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RN-M06-001–056</w:t>
            </w:r>
          </w:p>
        </w:tc>
        <w:tc>
          <w:tcPr>
            <w:tcW w:type="dxa" w:w="43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herramientas de estudio, práctica y progreso.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M07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55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RN-M07-001–055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sesiones y repetición espaciada.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M08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RN-M08-001–060</w:t>
            </w:r>
          </w:p>
        </w:tc>
        <w:tc>
          <w:tcPr>
            <w:tcW w:type="dxa" w:w="43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preguntas, ejercicios y minijuegos.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M09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RN-M09-001–060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progreso dentro de la canción.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M10</w:t>
            </w:r>
          </w:p>
        </w:tc>
        <w:tc>
          <w:tcPr>
            <w:tcW w:type="dxa" w:w="1152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RN-M10-001–060</w:t>
            </w:r>
          </w:p>
        </w:tc>
        <w:tc>
          <w:tcPr>
            <w:tcW w:type="dxa" w:w="43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biblioteca, listas y campañas.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M11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1E7F7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RN-M11-001–060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logros, colecciones y recompensas.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M12</w:t>
            </w:r>
          </w:p>
        </w:tc>
        <w:tc>
          <w:tcPr>
            <w:tcW w:type="dxa" w:w="1152"/>
            <w:shd w:fill="F1E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RN-M12-001–060</w:t>
            </w:r>
          </w:p>
        </w:tc>
        <w:tc>
          <w:tcPr>
            <w:tcW w:type="dxa" w:w="43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personajes guía y personalización.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M13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RN-M13-001–060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dirección visual y efectos.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M14</w:t>
            </w:r>
          </w:p>
        </w:tc>
        <w:tc>
          <w:tcPr>
            <w:tcW w:type="dxa" w:w="1152"/>
            <w:shd w:fill="F1E7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7030A0"/>
                <w:sz w:val="15"/>
              </w:rPr>
              <w:t>V2.0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RN-M14-001–060</w:t>
            </w:r>
          </w:p>
        </w:tc>
        <w:tc>
          <w:tcPr>
            <w:tcW w:type="dxa" w:w="43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comunidad y colaboración.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M15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RN-M15-001–060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gestión editorial y moderación.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M16</w:t>
            </w:r>
          </w:p>
        </w:tc>
        <w:tc>
          <w:tcPr>
            <w:tcW w:type="dxa" w:w="1152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RN-M16-001–060</w:t>
            </w:r>
          </w:p>
        </w:tc>
        <w:tc>
          <w:tcPr>
            <w:tcW w:type="dxa" w:w="43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notificaciones y comunicaciones.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M17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EF5FA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V1.1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RN-M17-001–060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estadísticas y reportes.</w:t>
            </w:r>
          </w:p>
        </w:tc>
      </w:tr>
      <w:tr>
        <w:trPr>
          <w:cantSplit/>
        </w:trPr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M18</w:t>
            </w:r>
          </w:p>
        </w:tc>
        <w:tc>
          <w:tcPr>
            <w:tcW w:type="dxa" w:w="1152"/>
            <w:shd w:fill="E8F3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RN-M18-001–060</w:t>
            </w:r>
          </w:p>
        </w:tc>
        <w:tc>
          <w:tcPr>
            <w:tcW w:type="dxa" w:w="43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seguridad, roles y auditoría.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5"/>
              </w:rPr>
              <w:t>M19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8F3E8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2E7D32"/>
                <w:sz w:val="15"/>
              </w:rPr>
              <w:t>MVP 1.0</w:t>
            </w:r>
          </w:p>
        </w:tc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60</w:t>
            </w:r>
          </w:p>
        </w:tc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RN-M19-001–060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5"/>
              </w:rPr>
              <w:t>Contrato de negocio de administración y catálogos.</w:t>
            </w:r>
          </w:p>
        </w:tc>
      </w:tr>
    </w:tbl>
    <w:p>
      <w:pPr>
        <w:spacing w:after="20"/>
      </w:pPr>
    </w:p>
    <w:p>
      <w:pPr>
        <w:pStyle w:val="Heading1"/>
      </w:pPr>
      <w:r>
        <w:t>Anexo C. Dependencias del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Módulo</w:t>
            </w:r>
          </w:p>
        </w:tc>
        <w:tc>
          <w:tcPr>
            <w:tcW w:type="dxa" w:w="2088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Depende de</w:t>
            </w:r>
          </w:p>
        </w:tc>
        <w:tc>
          <w:tcPr>
            <w:tcW w:type="dxa" w:w="6768"/>
            <w:shd w:fill="1F4E7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Razón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M01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M18, M19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Identidad segura, estados y valores predeterminados.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M02</w:t>
            </w:r>
          </w:p>
        </w:tc>
        <w:tc>
          <w:tcPr>
            <w:tcW w:type="dxa" w:w="20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M15, M18, M19</w:t>
            </w:r>
          </w:p>
        </w:tc>
        <w:tc>
          <w:tcPr>
            <w:tcW w:type="dxa" w:w="67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Publicación, derechos, permisos y catálogos.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M03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M02, M15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Grabación exacta y revisión editorial de letra/sincronización.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M04</w:t>
            </w:r>
          </w:p>
        </w:tc>
        <w:tc>
          <w:tcPr>
            <w:tcW w:type="dxa" w:w="20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M03, M15</w:t>
            </w:r>
          </w:p>
        </w:tc>
        <w:tc>
          <w:tcPr>
            <w:tcW w:type="dxa" w:w="67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Letra y unidades canónicas; revisión y autoría de traducción.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M05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M03, M15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Tokens canónicos y aprobación de contenido lingüístico.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M07</w:t>
            </w:r>
          </w:p>
        </w:tc>
        <w:tc>
          <w:tcPr>
            <w:tcW w:type="dxa" w:w="20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M01, M06, M08, M18</w:t>
            </w:r>
          </w:p>
        </w:tc>
        <w:tc>
          <w:tcPr>
            <w:tcW w:type="dxa" w:w="67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Preferencias, objetos de estudio, evaluación y autorización.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M03, M04, M05, M15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Fuentes contextuales y revisión de preguntas.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M06</w:t>
            </w:r>
          </w:p>
        </w:tc>
        <w:tc>
          <w:tcPr>
            <w:tcW w:type="dxa" w:w="20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M07, M08</w:t>
            </w:r>
          </w:p>
        </w:tc>
        <w:tc>
          <w:tcPr>
            <w:tcW w:type="dxa" w:w="67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Eventos y resultados confirmados como evidencias.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M09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M03, M05, M06, M08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Mapa de canción, objetos lingüísticos, evidencia y resultados.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M15</w:t>
            </w:r>
          </w:p>
        </w:tc>
        <w:tc>
          <w:tcPr>
            <w:tcW w:type="dxa" w:w="20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M18, M19</w:t>
            </w:r>
          </w:p>
        </w:tc>
        <w:tc>
          <w:tcPr>
            <w:tcW w:type="dxa" w:w="67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Permisos, auditoría, estados, motivos y flujos mínimos.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M18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M19</w:t>
            </w:r>
          </w:p>
        </w:tc>
        <w:tc>
          <w:tcPr>
            <w:tcW w:type="dxa" w:w="67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Parámetros y políticas versionadas sin almacenar secretos en M19.</w:t>
            </w:r>
          </w:p>
        </w:tc>
      </w:tr>
      <w:tr>
        <w:trPr>
          <w:cantSplit/>
        </w:trPr>
        <w:tc>
          <w:tcPr>
            <w:tcW w:type="dxa" w:w="108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F4E78"/>
                <w:sz w:val="16"/>
              </w:rPr>
              <w:t>M19</w:t>
            </w:r>
          </w:p>
        </w:tc>
        <w:tc>
          <w:tcPr>
            <w:tcW w:type="dxa" w:w="208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sz w:val="16"/>
              </w:rPr>
              <w:t>M18</w:t>
            </w:r>
          </w:p>
        </w:tc>
        <w:tc>
          <w:tcPr>
            <w:tcW w:type="dxa" w:w="6768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sz w:val="16"/>
              </w:rPr>
              <w:t>Toda operación administrativa se autoriza y audita.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979" w:right="1037" w:bottom="979" w:left="1037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7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1F4E78"/>
        <w:sz w:val="16"/>
      </w:rPr>
      <w:t>ALCANCE Y TRAZABILIDAD DEL MVP  ·  M01–M19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Label">
    <w:name w:val="Cover Label"/>
    <w:pPr>
      <w:spacing w:after="140"/>
      <w:jc w:val="center"/>
    </w:pPr>
    <w:rPr>
      <w:rFonts w:ascii="Aptos" w:hAnsi="Aptos"/>
      <w:b/>
      <w:color w:val="5B9BD5"/>
      <w:sz w:val="22"/>
    </w:rPr>
  </w:style>
  <w:style w:type="paragraph" w:customStyle="1" w:styleId="CoverTitle">
    <w:name w:val="Cover Title"/>
    <w:pPr>
      <w:spacing w:after="140"/>
      <w:jc w:val="center"/>
    </w:pPr>
    <w:rPr>
      <w:rFonts w:ascii="Aptos" w:hAnsi="Aptos"/>
      <w:b/>
      <w:color w:val="1F4E78"/>
      <w:sz w:val="62"/>
    </w:rPr>
  </w:style>
  <w:style w:type="paragraph" w:customStyle="1" w:styleId="CoverSubtitle">
    <w:name w:val="Cover Subtitle"/>
    <w:pPr>
      <w:spacing w:after="140"/>
      <w:jc w:val="center"/>
    </w:pPr>
    <w:rPr>
      <w:rFonts w:ascii="Aptos" w:hAnsi="Aptos"/>
      <w:b w:val="0"/>
      <w:color w:val="666666"/>
      <w:sz w:val="30"/>
    </w:rPr>
  </w:style>
  <w:style w:type="paragraph" w:customStyle="1" w:styleId="Kicker">
    <w:name w:val="Kicker"/>
    <w:pPr>
      <w:spacing w:after="140"/>
      <w:jc w:val="left"/>
    </w:pPr>
    <w:rPr>
      <w:rFonts w:ascii="Aptos" w:hAnsi="Aptos"/>
      <w:b/>
      <w:color w:val="5B9BD5"/>
      <w:sz w:val="17"/>
    </w:rPr>
  </w:style>
  <w:style w:type="paragraph" w:customStyle="1" w:styleId="SmallNote">
    <w:name w:val="Small Note"/>
    <w:pPr>
      <w:spacing w:after="140"/>
      <w:jc w:val="left"/>
    </w:pPr>
    <w:rPr>
      <w:rFonts w:ascii="Aptos" w:hAnsi="Aptos"/>
      <w:b w:val="0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Alcance, priorización y trazabilidad del MVP</dc:title>
  <dc:subject>Plataforma de aprendizaje de japonés mediante canciones</dc:subject>
  <dc:creator>Ulises Villarevia</dc:creator>
  <cp:keywords>MVP, requisitos, trazabilidad, japonés, canciones, M01-M19</cp:keywords>
  <dc:description>Generado a partir del Documento Maestro de Requerimientos M01–M19.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