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pStyle w:val="CoverKicker"/>
      </w:pPr>
      <w:r>
        <w:rPr>
          <w:rFonts w:ascii="Calibri" w:hAnsi="Calibri" w:eastAsia="Calibri"/>
          <w:b/>
          <w:i w:val="0"/>
          <w:color w:val="2E74B5"/>
          <w:sz w:val="20"/>
        </w:rPr>
        <w:t>ESPECIFICACIÓN TÉCNICA DEL MVP</w:t>
      </w:r>
    </w:p>
    <w:p>
      <w:pPr>
        <w:pStyle w:val="CoverTitle"/>
      </w:pPr>
      <w:r>
        <w:rPr>
          <w:rFonts w:ascii="Calibri" w:hAnsi="Calibri" w:eastAsia="Calibri"/>
          <w:b/>
          <w:i w:val="0"/>
          <w:color w:val="0B2545"/>
          <w:sz w:val="54"/>
        </w:rPr>
        <w:t>Arquitectura del sistema</w:t>
      </w:r>
    </w:p>
    <w:p>
      <w:pPr>
        <w:pStyle w:val="CoverSubtitle"/>
      </w:pPr>
      <w:r>
        <w:rPr>
          <w:rFonts w:ascii="Calibri" w:hAnsi="Calibri" w:eastAsia="Calibri"/>
          <w:b w:val="0"/>
          <w:i w:val="0"/>
          <w:color w:val="1F4D78"/>
          <w:sz w:val="28"/>
        </w:rPr>
        <w:t>Plataforma de aprendizaje de japonés mediante canciones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Control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Versión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1.0 - Arquitectura de referencia del MVP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Fecha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22 de julio de 2026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Línea base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M01-M19; 1.309 RF P0; 582 RN P0; 150 RNF; 25 casos de uso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Patrón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Monolito modular, mismo origen, contenedores y persistencia relacional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Propuesta lista para diseño lógico de datos y backlog técnico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E8F3E8"/>
        <w:pBdr>
          <w:top w:val="single" w:sz="8" w:space="5" w:color="2E7D32"/>
          <w:left w:val="single" w:sz="8" w:space="5" w:color="2E7D32"/>
          <w:bottom w:val="single" w:sz="8" w:space="5" w:color="2E7D32"/>
          <w:right w:val="single" w:sz="8" w:space="5" w:color="2E7D32"/>
        </w:pBdr>
      </w:pPr>
      <w:r>
        <w:rPr>
          <w:rFonts w:ascii="Calibri" w:hAnsi="Calibri" w:eastAsia="Calibri"/>
          <w:b/>
          <w:i w:val="0"/>
          <w:color w:val="2E7D32"/>
          <w:sz w:val="20"/>
        </w:rPr>
        <w:t xml:space="preserve">Decisión principal. </w:t>
      </w:r>
      <w:r>
        <w:rPr>
          <w:rFonts w:ascii="Calibri" w:hAnsi="Calibri" w:eastAsia="Calibri"/>
          <w:b w:val="0"/>
          <w:i w:val="0"/>
          <w:color w:val="000000"/>
          <w:sz w:val="19"/>
        </w:rPr>
        <w:t>El MVP se construirá como un monolito modular con React y ASP.NET Core. Los módulos conservan límites y contratos propios, pero comparten un despliegue y una base PostgreSQL para reducir complejidad operativa. YouTube es la única dependencia externa de ejecución y se limita al reproductor incrustado.</w:t>
      </w:r>
    </w:p>
    <w:p>
      <w:r>
        <w:br w:type="page"/>
      </w:r>
    </w:p>
    <w:p>
      <w:pPr>
        <w:pStyle w:val="Heading1"/>
      </w:pPr>
      <w:r>
        <w:t>Contenido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50"/>
        <w:gridCol w:w="8410"/>
      </w:tblGrid>
      <w:tr>
        <w:trPr>
          <w:tblHeader w:val="true"/>
          <w:cantSplit/>
        </w:trPr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Sección</w:t>
            </w:r>
          </w:p>
        </w:tc>
        <w:tc>
          <w:tcPr>
            <w:tcW w:type="dxa" w:w="8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Control, propósito, alcance y método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Decisiones vinculantes y atributos de calidad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Vista de contexto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Vista de contenedores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Componentes, módulos y propiedad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Stack tecnológico y decisiones ADR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Arquitectura del cliente web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Arquitectura del servidor y contratos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Persistencia, datos y búsqueda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YouTube, sincronización y degradación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Identidad, seguridad y privacidad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Consistencia, tareas y confiabilidad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Observabilidad y operación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Despliegue, ambientes y continuidad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CI/CD, pruebas y puertas de liberación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Trazabilidad de casos de uso y RNF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Riesgos, supuestos y secuencia de implementación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Referencias</w:t>
            </w:r>
          </w:p>
        </w:tc>
      </w:tr>
      <w:tr>
        <w:trPr>
          <w:cantSplit/>
        </w:trP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A-C</w:t>
            </w:r>
          </w:p>
        </w:tc>
        <w:tc>
          <w:tcPr>
            <w:tcW w:type="dxa" w:w="8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Catálogos de endpoints, eventos y cobertura RNF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1. Control, propósito, alcance y método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050"/>
        <w:gridCol w:w="7310"/>
      </w:tblGrid>
      <w:tr>
        <w:trPr>
          <w:tblHeader w:val="true"/>
          <w:cantSplit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Campo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Fuentes normativas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Documento Maestro M01-M19; alcance/priorización; 150 RNF; actores, 25 CU y 150 CA-MVP.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Cobertura de construcción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M01-M09 y subconjuntos P0 de M15, M18 y M19.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Extensiones previstas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M10-M14 y M16-M17 se conectarán mediante eventos/contratos; no se implementan como componentes vacíos.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Idiomas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Interfaz propia en español; japonés con UTF-8, lang=ja y ruby/rt; modelo preparado para multilingüismo.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Dependencia externa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Solo YouTube IFrame Player. No YouTube Data API ni APIs de traducción, transcripción, diccionario, búsqueda o analítica.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Estilo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Vistas C4 de contexto/contenedores/componentes, flujos dinámicos, topología y registros ADR.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1.1 Propósito</w:t>
      </w:r>
    </w:p>
    <w:p>
      <w:r>
        <w:t>Definir una estructura implementable que asigne responsabilidades, tecnologías, datos, límites de seguridad y mecanismos operativos al MVP. El documento convierte los requisitos funcionales y no funcionales en decisiones técnicas verificables, sin sustituir el modelo lógico de datos ni el backlog que se elaborarán después.</w:t>
      </w:r>
    </w:p>
    <w:p>
      <w:pPr>
        <w:pStyle w:val="Heading2"/>
      </w:pPr>
      <w:r>
        <w:t>1.2 Principios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arquitectura debe ser tan simple como permita el MVP, pero no debe bloquear la separación futura de módulos.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Cada módulo posee su lógica y sus escrituras; compartir base física no autoriza el acceso directo a tablas ajenas.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resultados publicados, las evidencias y los cambios privilegiados son versionados, idempotentes y auditables.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contenido educativo propio debe funcionar aunque el reproductor externo falle.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Accesibilidad, privacidad, observabilidad, respaldo y pruebas son parte de la arquitectura, no tareas posteriores.</w:t>
      </w:r>
    </w:p>
    <w:p>
      <w:pPr>
        <w:pStyle w:val="Heading2"/>
      </w:pPr>
      <w:r>
        <w:t>1.3 Método y notación</w:t>
      </w:r>
    </w:p>
    <w:p>
      <w:r>
        <w:t>Las vistas siguen la jerarquía del modelo C4: contexto, contenedores y componentes, complementada por flujos dinámicos y despliegue. Una flecha indica una dependencia permitida; no implica que el consumidor pueda leer la persistencia interna del proveedor. Los identificadores ARC documentan controles arquitectónicos reutilizados en la trazabilidad.</w:t>
      </w:r>
    </w:p>
    <w:p>
      <w:pPr>
        <w:pStyle w:val="Heading1"/>
      </w:pPr>
      <w:r>
        <w:t>2. Decisiones vinculantes y atributos de calidad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Driver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Línea base que condiciona el diseño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Escala nominal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100 usuarios activos; 20 solicitudes/s por 30 min; ráfaga de 60 solicitudes/s por 2 min.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Datos nominales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5.000 canciones; 50.000 cuentas; 2 millones de evidencias; 5 millones de tokens.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Rendimiento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Lecturas p95 &lt;= 500 ms; escrituras p95 &lt;= 800 ms; búsqueda p95 &lt;= 1 s; apertura propia p95 &lt;= 1,5 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Sincronización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Desfase p95 &lt;= 250 ms y máximo &lt;= 500 ms; resincronización p95 &lt;= 300 ms.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Disponibilidad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&gt;= 99,5 % mensual; error 5xx &lt; 0,5 % mensual; contenido propio disponible ante falla de YouTube.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Recuperación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RPO &lt;= 1 h; RTO &lt;= 4 h; 35 días de copias; restauración integral trimestral.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Seguridad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ASVS 5.0 L1 completo y controles L2 seleccionados; denegación por defecto; cero hallazgos altos abiertos.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Accesibilidad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WCAG 2.2 AA, teclado, 200 % zoom, reflujo a 320 CSS px y contenido no dependiente del audio.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2.1 Decisiones que no se delegan al código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Monolito modular en el MVP; microservicios requieren evidencia posterior de una necesidad de escala, autonomía o aislamiento.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Aplicación web y API bajo el mismo origen; no se habilita CORS general ni se almacenan tokens de sesión en localStorage.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PostgreSQL es la fuente de verdad; ningún índice, caché u objeto reemplaza la decisión transaccional canónica.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REST/JSON versionado para el cliente y eventos internos versionados para desacoplar módulos dentro del despliegue.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Búsqueda y análisis lingüístico propios; el sistema nunca envía letras, traducciones, respuestas o notas a terceros.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Infraestructura autohospedada o controlada para telemetría, objetos y correo; no se agregan APIs comerciales al runtime.</w:t>
      </w:r>
    </w:p>
    <w:p>
      <w:pPr>
        <w:pStyle w:val="CalloutText"/>
        <w:keepLines/>
        <w:spacing w:before="80" w:after="160"/>
        <w:ind w:left="160" w:right="160"/>
        <w:shd w:fill="FFF2CC"/>
        <w:pBdr>
          <w:top w:val="single" w:sz="8" w:space="5" w:color="7A5A00"/>
          <w:left w:val="single" w:sz="8" w:space="5" w:color="7A5A00"/>
          <w:bottom w:val="single" w:sz="8" w:space="5" w:color="7A5A00"/>
          <w:right w:val="single" w:sz="8" w:space="5" w:color="7A5A00"/>
        </w:pBdr>
      </w:pPr>
      <w:r>
        <w:rPr>
          <w:rFonts w:ascii="Calibri" w:hAnsi="Calibri" w:eastAsia="Calibri"/>
          <w:b/>
          <w:i w:val="0"/>
          <w:color w:val="7A5A00"/>
          <w:sz w:val="20"/>
        </w:rPr>
        <w:t xml:space="preserve">Criterio de evolución. </w:t>
      </w:r>
      <w:r>
        <w:rPr>
          <w:rFonts w:ascii="Calibri" w:hAnsi="Calibri" w:eastAsia="Calibri"/>
          <w:b w:val="0"/>
          <w:i w:val="0"/>
          <w:color w:val="000000"/>
          <w:sz w:val="19"/>
        </w:rPr>
        <w:t>Un módulo solo se extraerá a un proceso independiente cuando las métricas demuestren una razón concreta y el contrato ya esté estabilizado. La división organizativa o la cantidad de requisitos, por sí solas, no justifican microservicios.</w:t>
      </w:r>
    </w:p>
    <w:p>
      <w:pPr>
        <w:pStyle w:val="Heading1"/>
      </w:pPr>
      <w:r>
        <w:t>3. Vista de contexto</w:t>
      </w:r>
    </w:p>
    <w:p>
      <w:r>
        <w:t>La plataforma concentra todo el contenido y la lógica educativa. Los actores humanos interactúan por HTTPS y YouTube se comunica únicamente con el navegador mediante el reproductor IFrame autorizado. El backend no descarga audio/video ni usa YouTube para descubrir o completar metadatos.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197160"/>
            <wp:docPr id="1" name="Picture 1" title="Figura 1" descr="Diagrama de contexto con la plataforma en el centro; visitantes, estudiantes, editores y administradores acceden por HTTPS. YouTube aparece como la única dependencia externa y se limita al reproductor incrust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97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1. Sistema, actores y única dependencia externa.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600"/>
        <w:gridCol w:w="2200"/>
        <w:gridCol w:w="55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Actor/sistema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Interacción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Límite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Visitante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 y contenido publicado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Lectura pública; no guarda progreso ni accede a borradores.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Estudiante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Cuenta, estudio y progreso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Solo sus preferencias, intentos, notas y progreso privado.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Editor / traductor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Curaduría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Crea revisiones dentro de su alcance; no publica sin permiso.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Administrador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Gobierno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Roles, configuración, publicación, corrección y auditoría con segregación.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YouTube IFrame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Reproducción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Eventos permitidos; sin datos educativos propios ni almacenamiento audiovisual.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4. Vista de contenedores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558846"/>
            <wp:docPr id="2" name="Picture 2" title="Figura 2" descr="Diagrama con aplicación web React, aplicación ASP.NET Core, worker, PostgreSQL, almacenamiento privado, observabilidad, YouTube, relay SMTP interno y repositorio de copi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ed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8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2. Contenedores lógicos del MVP y protocolos autorizados.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350"/>
        <w:gridCol w:w="1700"/>
        <w:gridCol w:w="4410"/>
        <w:gridCol w:w="1900"/>
      </w:tblGrid>
      <w:tr>
        <w:trPr>
          <w:tblHeader w:val="true"/>
          <w:cantSplit/>
        </w:trP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Contenedor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Tecnología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Responsabilidad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Interfaz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Aplicación web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React 19.2 + TypeScript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UI, accesibilidad, player, sincronización local y estado efímero.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HTTPS/JSON; IFrame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Aplicación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ASP.NET Core 10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Casos de uso, autorización, validación, transacciones y contenido estático.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HTTPS; SQL/TLS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Worker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.NET 10 BackgroundService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Outbox, índices, recálculos, retención, exportación de auditoría y correo interno.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SQL/TLS; OTLP; SMTP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PostgreSQL 18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Fuente de verdad, revisión, búsqueda, sesiones, auditoría primaria y outbox.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SQL/TLS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Objetos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Repositorio privado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Evidencias y recursos binarios con checksum, cifrado, metadatos y retención.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Interfaz interna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Observabilidad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OpenTelemetry + backend controlado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Métricas, trazas, logs, paneles, alertas y sintéticos.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OTLP/HTTP</w:t>
            </w:r>
          </w:p>
        </w:tc>
      </w:tr>
      <w:tr>
        <w:trPr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Copias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Repositorio independiente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Copias cifradas de base, objetos, configuración y claves recuperables.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Canal de backup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4.1 Ausencias intencionales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hay broker de mensajes: la outbox en PostgreSQL satisface la carga P0 y evita otra dependencia operativa.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hay Elasticsearch: los índices y pg_trgm cubren 5.000 canciones y mantienen la búsqueda dentro del sistema.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hay Redis obligatorio: sesiones y datos críticos no dependen de memoria distribuida; la caché local solo acelera lecturas versionadas.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hay CDN obligatoria para contenido educativo: los assets de aplicación pueden cachearse, pero la fuente de verdad permanece en el sistema.</w:t>
      </w:r>
    </w:p>
    <w:p>
      <w:pPr>
        <w:pStyle w:val="Heading1"/>
      </w:pPr>
      <w:r>
        <w:t>5. Componentes, módulos y propiedad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60101"/>
            <wp:docPr id="3" name="Picture 3" title="Figura 3" descr="Diagrama que agrupa acceso y gobierno, catálogo y publicación, contenido educativo, práctica, progreso y puertos de expansión; las flechas muestran autorización, contenido publicado, evidencia y eventos confirmado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nent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0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3. Agrupación de componentes dentro del monolito modular.</w:t>
      </w:r>
    </w:p>
    <w:p>
      <w:r>
        <w:t>Cada módulo se implementa como un conjunto de dominio, aplicación, infraestructura y contratos. Las dependencias se expresan mediante interfaces de aplicación o eventos; no se permiten referencias desde el dominio a EF Core, HTTP, archivos, YouTube o telemetría.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00"/>
        <w:gridCol w:w="2100"/>
        <w:gridCol w:w="1050"/>
        <w:gridCol w:w="1400"/>
        <w:gridCol w:w="1100"/>
        <w:gridCol w:w="301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Mód.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Nombre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Entrega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Componente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Esquema</w:t>
            </w:r>
          </w:p>
        </w:tc>
        <w:tc>
          <w:tcPr>
            <w:tcW w:type="dxa" w:w="30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Propiedad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Usuarios y preferencias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Identidad de producto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identity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Perfil, preferencias, consentimientos y privacidad de cuenta.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 musical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catalog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Artistas, obras, grabaciones, fuentes, créditos y búsqueda.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Reproducción, letras y sincronización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Letra y reproducción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Letra, secciones, líneas, tokens, segmentos y referencia del player.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Traducciones multilingües y anotaciones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Traducción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content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Traducción literal/natural, alineación, notas y autoría.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Aprendizaje del japonés y análisis lingüístico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 lingüístico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linguistic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Lecturas, furigana, romaji, vocabulario, kanji, morfología y gramática.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Herramientas de estudio, práctica y progreso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Perfil de aprendizaje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Evidencias y dominio general; sin duplicar sesiones, ejercicios ni progreso por canción.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Sesiones y repetición espaciada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Sesiones de estudio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Sesión, ejecución, reanudación y coordinación de actividades.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Preguntas, ejercicios y minijuegos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Ejercicios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learning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Banco, instancias, respuestas, evaluación y retroalimentación.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 dentro de la canción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 por canción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Cobertura, competencias, derivaciones e historial privado.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M10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Biblioteca, listas y campañas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Biblioteca y campañas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library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Extensión P1; contrato reservado, sin tablas vacías en MVP.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Logros, colecciones y recompensas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Recompensas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rewards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Extensión P1/P2; consume eventos confirmados, no altera evidencia.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M12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Personajes guía y personalización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Personajes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personalization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Extensión P2; presentación y personalización separadas del aprendizaje.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Dirección visual y efectos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Dirección visual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visual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Extensión P2; efectos degradables y preferencias de movimiento.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M14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Comunidad y colaboración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Comunidad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community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Extensión P2; perfiles y contenido social fuera del MVP.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M15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Gestión editorial y moderación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editorial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Revisiones, derechos, publicación, corrección y reversión; moderación social diferida.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M16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Notificaciones y comunicaciones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Comunicaciones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communications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Extensión P1; en MVP solo contratos internos mínimos de cuenta.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Estadísticas y reportes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Posterior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Reportes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analytics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Extensión P1; MVP conserva telemetría operativa, no BI funcional completo.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Seguridad, roles y auditoría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Seguridad y auditoría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security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Credenciales, sesiones, roles, políticas, eventos y auditoría transversal.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 y catálogos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MVP/P0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Administración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configuration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Catálogos, parámetros, versiones efectivas y activación controlada.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5.1 Reglas de dependencia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cliente llama casos de uso de aplicación; nunca compone reglas canónicas con datos parciales de varios módulos.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escritura ocurre en el módulo propietario y dentro de una unidad de trabajo explícita.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Una lectura transversal usa una proyección o servicio de consulta; no concede permiso para escribir tablas ajenas.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reacciones posteriores a una confirmación se publican en outbox dentro de la misma transacción.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M18 autoriza y audita; M19 resuelve configuración; ninguno reemplaza la decisión de negocio del módulo propietario.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M06 conserva perfil/evidencias generales; M07 sesiones; M08 ejercicios; M09 progreso por canción, respetando la normalización acordada.</w:t>
      </w:r>
    </w:p>
    <w:p>
      <w:pPr>
        <w:pStyle w:val="Heading1"/>
      </w:pPr>
      <w:r>
        <w:t>6. Stack tecnológico y decisiones ADR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450"/>
        <w:gridCol w:w="3000"/>
        <w:gridCol w:w="49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Capa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Selección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Razón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Cliente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React 19.2, TypeScript estricto, Vite estable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Interacción rica, sincronización, componentes reutilizables y experiencia previa del proyecto.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Servidor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ASP.NET Core 10 LTS, C# 14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Backend ya definido; soporte LTS hasta 2028 y buen soporte de seguridad/health checks.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Persistencia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EF Core 10 + Npgsql 10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Mapeo, migraciones y transacciones sin abandonar SQL explícito para rutas críticas.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Base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PostgreSQL 18.4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Código abierto, Unicode, restricciones, JSONB selectivo, índices y pg_trgm para búsqueda interna.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Autenticación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ASP.NET Core Identity como infraestructura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Usuarios/tokens/roles con políticas propias, Argon2id y sesión por cookie.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Observabilidad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OpenTelemetry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Estándar abierto para trazas, métricas y logs; backend sustituible y autohospedado.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Entrega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Contenedores OCI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Paridad entre ambientes, despliegue repetible y portabilidad del proveedor.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Pruebas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xUnit, Testcontainers, Playwright, axe-core, k6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Cobertura por capas, base real, E2E, accesibilidad y rendimiento.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F4F6F9"/>
        <w:pBdr>
          <w:top w:val="single" w:sz="8" w:space="5" w:color="2E74B5"/>
          <w:left w:val="single" w:sz="8" w:space="5" w:color="2E74B5"/>
          <w:bottom w:val="single" w:sz="8" w:space="5" w:color="2E74B5"/>
          <w:right w:val="single" w:sz="8" w:space="5" w:color="2E74B5"/>
        </w:pBdr>
      </w:pPr>
      <w:r>
        <w:rPr>
          <w:rFonts w:ascii="Calibri" w:hAnsi="Calibri" w:eastAsia="Calibri"/>
          <w:b/>
          <w:i w:val="0"/>
          <w:color w:val="2E74B5"/>
          <w:sz w:val="20"/>
        </w:rPr>
        <w:t xml:space="preserve">Versiones. </w:t>
      </w:r>
      <w:r>
        <w:rPr>
          <w:rFonts w:ascii="Calibri" w:hAnsi="Calibri" w:eastAsia="Calibri"/>
          <w:b w:val="0"/>
          <w:i w:val="0"/>
          <w:color w:val="000000"/>
          <w:sz w:val="19"/>
        </w:rPr>
        <w:t>Las versiones mayores anteriores son la línea base al 22 de julio de 2026. Cada liberación fijará versiones exactas en archivos de bloqueo y SBOM; no se actualizará automáticamente una versión mayor ni se usará .NET 11 previo a disponibilidad general.</w:t>
      </w:r>
    </w:p>
    <w:p>
      <w:pPr>
        <w:pStyle w:val="Heading2"/>
      </w:pPr>
      <w:r>
        <w:t>6.1 Registros de decisión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850"/>
        <w:gridCol w:w="900"/>
        <w:gridCol w:w="2100"/>
        <w:gridCol w:w="2100"/>
        <w:gridCol w:w="341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ADR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Estado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Decisión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Alternativa</w:t>
            </w:r>
          </w:p>
        </w:tc>
        <w:tc>
          <w:tcPr>
            <w:tcW w:type="dxa" w:w="3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Motivo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Monolito modular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Microservicios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Reduce fallas distribuidas y costo operativo; conserva límites extraíbles.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React estático bajo mismo origen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SPA en dominio separado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Simplifica cookie, CSRF, CSP, CORS y entrega.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.NET/ASP.NET Core 10 LTS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.NET 11 preview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Soporte estable y coherencia con EF Core 10.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PostgreSQL 18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SQL Server de producción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Evita licencia, mejora portabilidad y cubre búsqueda/datos P0.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REST/JSON + eventos internos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GraphQL o RPC público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Contratos simples, auditables y suficientes para 25 CU.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Outbox/inbox en PostgreSQL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Broker externo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Garantiza propagación sin doble escritura ni componente adicional.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Cookie de sesión segura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JWT en localStorage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Revocación y menor exposición a robo de token en navegador.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Argon2id configurable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Hasher predeterminado sin memoria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Cumple RNF de derivación resistente a memoria.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ADR-009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Búsqueda PostgreSQL/pg_trgm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Motor de búsqueda separado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volumen nominal no justifica otra plataforma.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YouTube IFrame aislado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YouTube Data API/descarga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Respeta alcance, privacidad y derechos.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Aceptada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Observabilidad autohospedada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SaaS de telemetría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Evita envío externo de datos y conserva sustituibilidad.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ADR-012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Propuesta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Objeto privado S3-compatible/controlado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Binarios grandes en PostgreSQL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Separa crecimiento y facilita políticas; validar proveedor en despliegue.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7. Arquitectura del cliente web</w:t>
      </w:r>
    </w:p>
    <w:p>
      <w:r>
        <w:t>El cliente es una aplicación React compilada como archivos estáticos y servida por ASP.NET Core. La navegación pública, la experiencia de estudio, la curaduría y la administración comparten un sistema de diseño accesible, pero se cargan por rutas y permisos para reducir el paquete inicial.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Componente</w:t>
            </w:r>
          </w:p>
        </w:tc>
        <w:tc>
          <w:tcPr>
            <w:tcW w:type="dxa" w:w="7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Responsabilidad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App shell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Rutas, sesión, manejo de error, idioma, tema y límites de acceso visibles.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Design system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Botones, formularios, diálogos, tablas, estados, foco, contraste y movimiento reducido.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Data client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fetch tipado, cancelación, caché de lectura breve, invalidación por ETag/versión y manejo uniforme de ProblemDetails.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Player adapter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Carga diferida de YouTube, origin, estado, errores y eventos; sin lógica educativa canónica.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Sync engine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Índice temporal en memoria, búsqueda binaria de segmento, actualización limitada y resincronización por eventos.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Learning view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Capas japonés/furigana/romaji/español, ruby semántico, análisis contextual y preferencias.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Study client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Sesión, instancia congelada, respuesta, reintento idempotente y estado no confirmado claramente diferenciado.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Editorial workspace</w:t>
            </w:r>
          </w:p>
        </w:tc>
        <w:tc>
          <w:tcPr>
            <w:tcW w:type="dxa" w:w="7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Borradores versionados, autoguardado, detección de conflicto y previsualización del paquete.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7.1 Estado del cliente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URL: filtros, canción y sección seleccionada cuando sea seguro compartirlos.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Memoria React: estado de interfaz, línea activa, player y formularios en curso.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Servidor: sesión, preferencias confirmadas, respuestas, progreso, borradores y revisiones.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Almacenamiento local: solo preferencias no sensibles y recuperación efímera permitida; nunca cookies de sesión, tokens, respuestas completas o notas privadas.</w:t>
      </w:r>
    </w:p>
    <w:p>
      <w:pPr>
        <w:pStyle w:val="Heading2"/>
      </w:pPr>
      <w:r>
        <w:t>7.2 Accesibilidad e internacionalización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documento raíz usa lang=es y cada fragmento japonés usa lang=ja; las lecturas se expresan con ruby/rt.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resaltado de línea no mueve el foco ni anuncia cada cambio de manera obligatoria.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Todos los controles funcionan con teclado y presentan nombre, rol, estado, error y foco visibles.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interfaz respeta prefers-reduced-motion, evita destellos y mantiene función a 320 CSS px y 200 % de zoom.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letra, instrucciones, estados y retroalimentación existen como texto aun cuando el audio o video no esté disponible.</w:t>
      </w:r>
    </w:p>
    <w:p>
      <w:pPr>
        <w:pStyle w:val="Heading1"/>
      </w:pPr>
      <w:r>
        <w:t>8. Arquitectura del servidor y contratos</w:t>
      </w:r>
    </w:p>
    <w:p>
      <w:r>
        <w:t>El servidor sigue capas internas por módulo. Los endpoints traducen HTTP a comandos o consultas; la aplicación coordina casos de uso; el dominio aplica invariantes; la infraestructura implementa persistencia, objetos, reloj, correo, player metadata y telemetría.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Capa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Contenido permitido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Web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Endpoints mínimos, autenticación, autorización, anti-CSRF, rate limits, validación de forma y ProblemDetails.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Application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Comandos/consultas, unidades de trabajo, idempotencia, orquestación y puertos.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Domain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Entidades, agregados, value objects, políticas y eventos sin dependencias técnicas.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Infrastructure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EF Core/Npgsql, objetos, SMTP, reloj, hashing, telemetría y repositorios.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Contracts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DTO REST v1, eventos versionados y modelos de proyección; no se exponen entidades EF.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8.1 Convenciones HTTP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Base /api/v1; nombres de recursos en plural; identificadores opacos UUIDv7 y tiempos ISO 8601 UTC.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GET es seguro; POST crea o ejecuta; PUT reemplaza una configuración completa; PATCH se limita a cambios parciales definidos; DELETE aplica baja lógica o solicitud de eliminación.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Escrituras críticas aceptan Idempotency-Key y devuelven el mismo resultado lógico durante su ventana de retención.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Concurrencia optimista mediante ETag/If-Match o versión explícita para borradores, roles, parámetros y publicación.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Errores usan application/problem+json con código estable, correlation_id y detalles no sensibles; la UI no interpreta mensajes libres.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Paginación por cursor para colecciones variables; límites y orden se validan en servidor.</w:t>
      </w:r>
    </w:p>
    <w:p>
      <w:pPr>
        <w:pStyle w:val="Heading2"/>
      </w:pPr>
      <w:r>
        <w:t>8.2 Contratos entre módulos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Llamada directa a una interfaz de aplicación para una decisión sincrónica que debe formar parte de la respuesta actual.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Evento interno después de confirmar una transacción cuando el consumidor puede reaccionar de forma asíncrona.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Proyección de lectura para pantallas transversales; la proyección se puede reconstruir desde fuentes canónicas.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Prohibido compartir DbContext, repositorios genéricos o entidades mutables entre módulos.</w:t>
      </w:r>
    </w:p>
    <w:p>
      <w:pPr>
        <w:pStyle w:val="Heading1"/>
      </w:pPr>
      <w:r>
        <w:t>9. Persistencia, datos y búsqueda</w:t>
      </w:r>
    </w:p>
    <w:p>
      <w:r>
        <w:t>PostgreSQL contiene una base lógica con esquemas por dominio. Las claves foráneas se mantienen dentro de un módulo y, cuando una relación transversal es indispensable para integridad, se define explícitamente y se modifica solo a través del propietario. El esquema físico detallado se desarrollará en el siguiente documento.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700"/>
        <w:gridCol w:w="1500"/>
        <w:gridCol w:w="61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Esquema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Propietario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Contenido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identity/security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M01, M18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Cuenta, perfil, consentimiento, credencial, sesión, rol, permiso y eventos de seguridad.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catalog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M02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Artista, obra, grabación, alias, créditos, fuente y disponibilidad.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M03-M05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Revisiones de letra, segmentos, tokens, traducciones y análisis lingüístico.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learning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M06-M08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Perfil educativo, sesión, pregunta, instancia, respuesta, evaluación y evidencia.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M09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Mapas, competencias, derivaciones, historial y punto de reanudación.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editorial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M15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Paquetes, revisión, derechos, decisión, publicación, corrección y reversión.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configuration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M19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Catálogos, parámetros, versiones, vigencias y valores efectivos no secretos.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Transversal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Outbox, idempotencia, trabajos, auditoría técnica y metadatos operativos.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9.1 Convenciones de datos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UUIDv7 para entidades nuevas, claves naturales solo como restricciones únicas y no como identificadores públicos.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UTC en timestamptz; fecha local solo cuando el concepto lo requiera; version bigint para concurrencia optimista.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Texto UTF-8; normalización NFC en entradas; japonés canónico no se transforma para mostrarlo ni se deriva desde romaji.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Estados y tipos estables como catálogos versionados; JSONB solo para metadatos variables que no deban gobernar integridad.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Revisiones publicadas append-only; borradores editables con version; eliminación mediante estado y política de retención.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Índices se justifican con consultas y EXPLAIN; no se indexa cada columna ni se particiona antes de medir.</w:t>
      </w:r>
    </w:p>
    <w:p>
      <w:pPr>
        <w:pStyle w:val="Heading2"/>
      </w:pPr>
      <w:r>
        <w:t>9.2 Búsqueda interna</w:t>
      </w:r>
    </w:p>
    <w:p>
      <w:r>
        <w:t>La búsqueda combina igualdad, prefijos y similitud sobre títulos, artistas, alias, kana y romaji normalizados. pg_trgm y los índices GIN/GiST se usarán únicamente donde el plan lo justifique. La elegibilidad editorial y territorial se revalida al abrir el resultado, por lo que un índice desactualizado nunca autoriza contenido retirado.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Normalizar la consulta sin destruir kanji/kana ni diacríticos significativos.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Buscar en la proyección interna con límites, orden y umbral configurados.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Devolver identificadores de artista, obra y grabación suficientes para desambiguar.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Revalidar publicación, derechos y disponibilidad antes de servir el paquete educativo.</w:t>
      </w:r>
    </w:p>
    <w:p>
      <w:pPr>
        <w:pStyle w:val="Heading1"/>
      </w:pPr>
      <w:r>
        <w:t>10. YouTube, sincronización y degradación</w:t>
      </w:r>
    </w:p>
    <w:p>
      <w:r>
        <w:t>El navegador es el único componente que se comunica con YouTube. El sistema almacena el identificador o referencia de la fuente y metadatos propios; nunca copia audio, video, subtítulos ni resultados obtenidos mediante scraping. La IFrame Player API se encapsula detrás de un adaptador para impedir que sus detalles se propaguen a los módulos de contenido o aprendizaje.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442699"/>
            <wp:docPr id="4" name="Picture 4" title="Figura 4" descr="Diagrama de secuencia entre estudiante/React, API ASP.NET, PostgreSQL y YouTube IFrame. El contenido propio se obtiene de la API, los eventos del player actualizan la línea localmente y la respuesta se confirma en una transacción idempoten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jo_estudia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4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4. Carga del paquete, sincronización local y confirmación idempotente de evidencia.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50"/>
        <w:gridCol w:w="7510"/>
      </w:tblGrid>
      <w:tr>
        <w:trPr>
          <w:tblHeader w:val="true"/>
          <w:cantSplit/>
        </w:trPr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Aspecto</w:t>
            </w:r>
          </w:p>
        </w:tc>
        <w:tc>
          <w:tcPr>
            <w:tcW w:type="dxa" w:w="7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Decisión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Carga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Consentimiento/acción y lazy loading; youtube-nocookie.com cuando sea compatible con el flujo.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Seguridad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enablejsapi=1, origin exacto, allow de frame/script/connect mínimo y validación estricta del videoId.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Sincronización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Segmentos ordenados [inicio, fin); búsqueda binaria por tiempo; actualización limitada a la frecuencia útil.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Seek/pausa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Evento confirmado invalida el segmento actual y fuerza búsqueda inmediata; sin solicitud al backend.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Cambio de fuente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Nueva revisión editorial; no se sustituye silenciosamente la grabación de una sesión/evidencia.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Falla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 detectado &lt;= 2 s; letra, traducción, análisis y navegación permanecen disponibles.</w:t>
            </w:r>
          </w:p>
        </w:tc>
      </w:tr>
      <w:tr>
        <w:trPr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Medición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Latencia propia y tiempo del player se reportan separados; los SLO internos no incluyen la carga interna de YouTube.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10.1 Algoritmo de línea activa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Cargar una revisión de sincronización ligada a la grabación exacta y validar orden/no solapamiento según regla editorial.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Al iniciar o hacer seek, obtener el tiempo confirmado del player y localizar el segmento con búsqueda binaria.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Durante reproducción, consultar el tiempo con una cadencia limitada y actualizar solo cuando cambia el segmento.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Aplicar una compensación editorial versionada si la fuente lo requiere; nunca una corrección global invisible.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Ante error o ausencia de player, detener el reloj externo y conservar el contenido propio navegable manualmente.</w:t>
      </w:r>
    </w:p>
    <w:p>
      <w:pPr>
        <w:pStyle w:val="Heading1"/>
      </w:pPr>
      <w:r>
        <w:t>11. Identidad, seguridad y privacidad</w:t>
      </w:r>
    </w:p>
    <w:p>
      <w:r>
        <w:t>M18 proporciona la identidad de seguridad y las decisiones de acceso; M01 conserva el perfil y los consentimientos; M19 define políticas versionadas sin almacenar secretos. La autorización se evalúa en el servidor antes de leer o modificar cualquier objeto protegido.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Control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Implementación de referencia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Contraseñas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 caracteres como factor único, máximo &gt;= 64, Unicode/NFC, blocklist y Argon2id calibrado a &gt;= 100 ms.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Sesiones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Cookie Secure, HttpOnly y SameSite; ID opaco, rotación, revocación y protección CSRF.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Privilegiados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MFA TOTP o WebAuthn, inactividad &lt;= 15 min, duración &lt;= 8 h y reautenticación sensible.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Estudiante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Inactividad &lt;= 12 h, renovación absoluta &lt;= 30 días y reautenticación para cambios sensibles.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Autorización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Roles estudiante/editor/traductor/administrador más políticas por permiso, alcance, estado y objeto.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Recuperación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Token aleatorio, hash almacenado, un solo uso, &lt;= 30 min, revocación de sesiones; entrega por SMTP interno.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Navegador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CSP sin unsafe-eval, HSTS, anti-CSRF, codificación contextual y cero HTML editorial arbitrario.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Abuso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 fallos/cuenta/15 min y 20/IP/15 min como base; límites configurados, eventos y respuesta uniforme.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11.1 Modelo de amenazas resumido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100"/>
        <w:gridCol w:w="1800"/>
        <w:gridCol w:w="546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Amenaza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Activo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Controles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Robo/reutilización de credenciales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Cuenta y rol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Argon2id, blocklist, rate limit, MFA, revocación y alertas.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XSS / inyección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Sesión y contenido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CSP, codificación, validación, parámetros SQL, SAST/DAST y no HTML libre.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CSRF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Operaciones con estado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SameSite y token antiforgery en todas las escrituras por cookie.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IDOR/BOLA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Datos privados/borradores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Política por objeto en servidor y pruebas negativas por rol.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 parcial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Integridad editorial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Transacción atómica, versión congelada y outbox.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Repetición/reintento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Intentos y progreso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Idempotency-Key, restricciones únicas e inbox/outbox.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Manipulación de auditoría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Evidencia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Append-only, permisos separados, sellado y exportación de retención.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Exposición por YouTube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Privacidad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Carga diferida, nocookie, allowlist, origin y contenido propio independiente.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Cadena de suministro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Artefactos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Lockfiles, SBOM, escaneo, firma/asociación y parches soportados.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11.2 Clasificación y privacidad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300"/>
        <w:gridCol w:w="3500"/>
        <w:gridCol w:w="45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Clase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Ejemplos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Público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Catálogo y revisiones publicadas elegibles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Lectura anónima con filtros de disponibilidad.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Interno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Borradores, índices, configuración no secreta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Actores autorizados por ámbito.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Personal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Correo, preferencias, progreso, intentos y notas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Propietario y funciones justificadas; privado por defecto.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Restringido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Credenciales, tokens, evidencia de derechos, auditoría sensible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Acceso mínimo, cifrado, registro y retención específica.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Secreto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Claves, contraseñas técnicas y credenciales de infraestructura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Almacén de secretos; nunca M19, repositorio, logs o imagen.</w:t>
            </w:r>
          </w:p>
        </w:tc>
      </w:tr>
    </w:tbl>
    <w:p>
      <w:pPr>
        <w:pStyle w:val="SmallNote"/>
        <w:spacing w:after="40"/>
      </w:pP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Telemetría excluye contraseñas, tokens, respuestas completas, notas libres y letras/traducciones innecesarias.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eliminación de cuenta retira datos activos &lt;= 7 días y desaparece de copias &lt;= 35 días, salvo retención documentada.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Ambientes inferiores usan datos sintéticos; no se clona producción para desarrollar o probar.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Cada llamada saliente se bloquea por allowlist; una captura F01-F10 debe demostrar cero destinos no autorizados.</w:t>
      </w:r>
    </w:p>
    <w:p>
      <w:pPr>
        <w:pStyle w:val="Heading1"/>
      </w:pPr>
      <w:r>
        <w:t>12. Consistencia, tareas y confiabilidad</w:t>
      </w:r>
    </w:p>
    <w:p>
      <w:r>
        <w:t>Las operaciones que cambian una decisión canónica usan una transacción local. Las reacciones entre módulos se registran como eventos en la outbox de esa misma transacción y se procesan después, de forma idempotente. Así no se combina una escritura de negocio confirmada con una publicación de evento que pueda perderse.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293794"/>
            <wp:docPr id="5" name="Picture 5" title="Figura 5" descr="Diagrama de secuencia entre editor, API, PostgreSQL, worker y auditoría/índice. La publicación y el evento se confirman en una transacción; el worker procesa después la outbox y actualiza proyecciones idempoten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jo_editor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3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5. Publicación atómica y propagación mediante outbox.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800"/>
        <w:gridCol w:w="2200"/>
        <w:gridCol w:w="5360"/>
      </w:tblGrid>
      <w:tr>
        <w:trPr>
          <w:tblHeader w:val="true"/>
          <w:cantSplit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Operación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Patrón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Garantía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Registro/login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Transacción local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Una cuenta/sesión por operación; respuesta uniforme ante repetición.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Respuesta/evaluación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Transacción + unicidad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Una respuesta, una evaluación y una evidencia lógica por instancia/operación.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Inbox + derivación versionada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Una actualización por evidence_id; recálculo crea nueva derivación.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Publicación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Transacción serializable o bloqueo lógico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Paquete completo y versión activa cambian juntos.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Corrección/reversión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Nueva revisión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Nunca sobrescribe la publicación histórica ni mezcla fuentes incompatibles.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Índice/caché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Consistencia eventual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Puede retrasarse; apertura siempre revalida estado canónico.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Auditoría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Mismo commit + exportación posterior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El evento primario no puede faltar si la acción se confirma.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12.1 Outbox, inbox e idempotencia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operación valida permisos, versión, estado e Idempotency-Key.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misma transacción guarda el agregado, la respuesta idempotente, la auditoría primaria y uno o más mensajes outbox.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worker reclama mensajes con bloqueo seguro y registra intento, próxima ejecución y resultado.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Cada consumidor registra event_id en su inbox antes de aplicar el efecto; un mensaje repetido devuelve éxito sin duplicar.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Después del máximo de tres intentos automáticos con backoff/jitter, el trabajo pasa a revisión operativa sin descartar el mensaje.</w:t>
      </w:r>
    </w:p>
    <w:p>
      <w:pPr>
        <w:pStyle w:val="Heading2"/>
      </w:pPr>
      <w:r>
        <w:t>12.2 Borradores y conflictos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Autoguardado máximo cada 30 s o tras una pausa significativa; cada guardado incluye la versión leída.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 conflicto no hace last-write-wins silencioso: se muestra diferencia, se conserva ambos estados y el actor decide.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sesión de edición referencia revisiones fuente concretas; una publicación ajena no cambia el borrador en curso.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Un cierre abrupto recupera la última versión confirmada y distingue cualquier estado local no confirmado.</w:t>
      </w:r>
    </w:p>
    <w:p>
      <w:pPr>
        <w:pStyle w:val="Heading1"/>
      </w:pPr>
      <w:r>
        <w:t>13. Observabilidad y operación</w:t>
      </w:r>
    </w:p>
    <w:p>
      <w:r>
        <w:t>La aplicación instrumenta HTTP, EF/Npgsql, trabajos, casos de uso y flujos críticos con OpenTelemetry. Los datos se envían a un collector controlado y de allí a almacenes de métricas, trazas y logs sustituibles. correlation_id se propaga desde el borde hasta outbox, worker y auditoría.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400"/>
        <w:gridCol w:w="5200"/>
        <w:gridCol w:w="27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Señal</w:t>
            </w:r>
          </w:p>
        </w:tc>
        <w:tc>
          <w:tcPr>
            <w:tcW w:type="dxa" w:w="5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Métricas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Condición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Tráfico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solicitudes/s, operaciones F01-F10, usuarios activos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Resolución &lt;= 1 min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Errores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5xx, ProblemDetails por código, fallas de jobs/player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Alerta &gt; 2 %/5 min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Latencia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p75/p95/p99 por endpoint, caso y consulta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Alerta p95 &gt; 2x/10 min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Saturación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CPU, memoria, conexiones, I/O, almacenamiento, backlog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Aviso 70 %; crítico 85 %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Negocio seguro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publicaciones, evidencias, progreso e idempotencia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Conteos sin texto privado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Dependencia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estado del player informado por cliente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Separado del SLO interno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13.1 Health checks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/health/live verifica que el proceso responde; no consulta dependencias y permite detectar bloqueo del proceso.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/health/ready verifica base, migración compatible, claves de protección y capacidad mínima; controla entrada al balanceador.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/health/startup permite una ventana distinta durante inicio/migración y evita reinicios prematuros.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detalles de dependencia no son públicos; el monitor autenticado conserva la evidencia operativa.</w:t>
      </w:r>
    </w:p>
    <w:p>
      <w:pPr>
        <w:pStyle w:val="Heading2"/>
      </w:pPr>
      <w:r>
        <w:t>13.2 Auditoría funcional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Acciones privilegiadas registran actor/sujeto, rol, permiso, alcance, objeto, acción, antes/después, motivo, hora UTC y correlation_id.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Consultas de auditoría también se autorizan y auditan; no existe un rol operativo capaz de reescribir el historial.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Eventos primarios permanecen append-only y se sellan/exportan periódicamente para detectar alteración &lt;= 5 min.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Logs operativos se conservan &gt;= 90 días; seguridad/auditoría &gt;= 12 meses, sujetos a la política legal aplicable.</w:t>
      </w:r>
    </w:p>
    <w:p>
      <w:pPr>
        <w:pStyle w:val="Heading1"/>
      </w:pPr>
      <w:r>
        <w:t>14. Despliegue, ambientes y continuidad</w:t>
      </w:r>
    </w:p>
    <w:p>
      <w:r>
        <w:t>La topología es independiente del proveedor. Producción requiere una plataforma de contenedores capaz de ejecutar al menos dos réplicas web, readiness/liveness, actualización gradual, almacenamiento persistente y secretos inyectados. PostgreSQL y las copias se ubican en dominios de falla separados de la aplicación.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22642"/>
            <wp:docPr id="6" name="Picture 6" title="Figura 6" descr="Diagrama con balanceador HTTPS, dos réplicas Web/API, worker, PostgreSQL primario y réplica, almacenamiento de objetos, telemetría, copias independientes y almacén de secretos/configurac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spliegu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2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Figura 6. Topología de producción de referencia.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300"/>
        <w:gridCol w:w="2300"/>
        <w:gridCol w:w="5760"/>
      </w:tblGrid>
      <w:tr>
        <w:trPr>
          <w:tblHeader w:val="true"/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Ambiente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Forma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Local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Docker Compose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App, worker, PostgreSQL, objeto de desarrollo, SMTP sink y collector; datos sintéticos.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Contenedores efímeros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Compilación, unitarias, integración, migración, E2E, accesibilidad, SAST y SBOM.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Pruebas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Paridad de clase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Mismas imágenes/políticas; volumen nominal; secretos y datos propios del ambiente.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Producción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Réplicas y servicios persistentes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TLS, balanceo, copias separadas, alertas, mantenimiento y rollback.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14.1 Configuración y secretos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imagen es idéntica entre ambientes; la configuración se inyecta y todas las diferencias quedan inventariadas.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M19 almacena parámetros funcionales no secretos con tipo, versión, vigencia, ámbito, precedencia y actor.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Contraseñas de base, claves de cifrado, credenciales de objetos y SMTP residen en un secret store y se rotan sin recompilar.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Las claves de Data Protection se comparten de forma cifrada entre réplicas; una rotación conserva capacidad de descifrar sesiones vigentes según política.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Los destinos de salida se controlan mediante allowlist: YouTube y componentes internos documentados; todo lo demás se bloquea.</w:t>
      </w:r>
    </w:p>
    <w:p>
      <w:pPr>
        <w:pStyle w:val="Heading2"/>
      </w:pPr>
      <w:r>
        <w:t>14.2 Copias y recuperación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600"/>
        <w:gridCol w:w="3100"/>
        <w:gridCol w:w="46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Almacén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Estrategia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Restauración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PostgreSQL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WAL/incremental &lt;= 1 h + completa diaria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Punto en el tiempo; checksum; restauración a instancia aislada.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Objetos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Versionado/copia incremental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Bytes, checksum, metadatos, políticas y relación con base.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Configuración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Exportación versionada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Valores M19, manifiestos de infraestructura y parámetros no secretos.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Secretos/claves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Procedimiento protegido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Inventario recuperable con credenciales separadas y acceso auditado.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Índices/proyecciones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Recreables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 reconstruyen desde fuentes canónicas; no son la única copia.</w:t>
            </w:r>
          </w:p>
        </w:tc>
      </w:tr>
    </w:tbl>
    <w:p>
      <w:pPr>
        <w:pStyle w:val="SmallNote"/>
        <w:spacing w:after="40"/>
      </w:pP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Declarar incidente, congelar cambios de despliegue y elegir el punto de recuperación.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Restaurar base, objetos, configuración y claves en un entorno aislado; verificar checksum e integridad referencial.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Reconstruir proyecciones e índices, ejecutar smoke tests CE-01, CE-02, CE-07, CE-09 y CE-14.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Cambiar tráfico cuando el estado sea saludable; conservar evidencia de RPO &lt;= 1 h y RTO &lt;= 4 h.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Reconciliar trabajos/outbox y documentar causa, datos afectados y acciones preventivas.</w:t>
      </w:r>
    </w:p>
    <w:p>
      <w:pPr>
        <w:pStyle w:val="Heading1"/>
      </w:pPr>
      <w:r>
        <w:t>15. CI/CD, pruebas y puertas de liberación</w:t>
      </w:r>
    </w:p>
    <w:p>
      <w:r>
        <w:t>El repositorio conserva frontend, backend, migraciones, contratos, pruebas e infraestructura. La rama principal está protegida y produce una imagen inmutable identificada por commit. Las migraciones se ejecutan como paso controlado compatible con la versión anterior durante el despliegue gradual.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00"/>
        <w:gridCol w:w="1900"/>
        <w:gridCol w:w="67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Paso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Puerta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Restaurar y fijar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Lockfiles, SDK .NET 10, Node compatible, verificación de fuentes y licencias.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Calidad estática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Formato, compilación, TypeScript strict, analizadores, secretos, SAST y dependencias.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Unitarias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Dominio/aplicación; &gt;= 80 % líneas y &gt;= 70 % ramas sin exclusiones engañosas.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Integración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PostgreSQL real, migraciones, repositorios, identidad, outbox, objetos y contratos.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E2E/accesibilidad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Playwright/axe; CE-01 a CE-14 y E2E-01 a E2E-06 en candidato común.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Seguridad/carga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DAST, cabeceras, abuso; carga nominal/ráfaga cuando cambia ruta crítica o volumen &gt;= 20 %.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Empaquetar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Imagen OCI, SBOM, digest, evidencia y notas de migración/rollback.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Desplegar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Migración controlada, réplica canary, readiness, sintéticos, expansión y rollback &lt;= 15 min.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15.1 Estrategia de pruebas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400"/>
        <w:gridCol w:w="3100"/>
        <w:gridCol w:w="48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Nivel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Objetivo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Ejecución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Dominio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Invariantes, estados, cálculo y versionado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xUnit; datos deterministas.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Aplicación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Casos de uso, autorización, idempotencia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Fakes solo para puertos; reloj controlado.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Integración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EF/PostgreSQL, objetos, SMTP, outbox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Contenedores reales y aislamiento por prueba.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Contrato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REST, eventos y compatibilidad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OpenAPI snapshots y consumer tests.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E2E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25 CU / 14 CE / 6 recorridos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Playwright en el mismo candidato.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Accesibilidad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WCAG 2.2 AA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axe + teclado + NVDA/VoiceOver manual.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Rendimiento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150 RNF y datos nominales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k6 + navegador instrumentado + pg_stat/EXPLAIN.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Seguridad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ASVS, abuso, XSS/CSRF/IDOR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SAST, DAST, dependency scan y prueba manual.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Recuperación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RPO/RTO, copias y rollback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Restauración y simulacros programados.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15.2 Definition of Done técnica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Historia enlazada a RF/RN, CU/CA, RNF y control ARC aplicables.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Código revisado; contratos y migraciones compatibles; pruebas positivas y negativas aprobadas.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Sin vulnerabilidades críticas/altas abiertas ni excepción de accesibilidad, privacidad o integridad.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Métricas, logs, health checks, alertas y runbook actualizados cuando cambia la operación.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Evidencia reproducible adjunta al mismo candidato que se pretende liberar.</w:t>
      </w:r>
    </w:p>
    <w:p>
      <w:pPr>
        <w:pStyle w:val="Heading1"/>
      </w:pPr>
      <w:r>
        <w:t>16. Trazabilidad de casos de uso y RNF</w:t>
      </w:r>
    </w:p>
    <w:p>
      <w:r>
        <w:t>La arquitectura cubre los 25 casos de uso mediante rutas explícitas y asigna los 150 RNF a controles ARC. La trazabilidad detallada por RNF se incluye en el Anexo C; la matriz siguiente identifica el camino principal y los almacenes propietarios.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850"/>
        <w:gridCol w:w="2400"/>
        <w:gridCol w:w="1200"/>
        <w:gridCol w:w="2200"/>
        <w:gridCol w:w="1300"/>
        <w:gridCol w:w="141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CU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Caso</w:t>
            </w:r>
          </w:p>
        </w:tc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Actor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Ruta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Propietarios</w:t>
            </w:r>
          </w:p>
        </w:tc>
        <w:tc>
          <w:tcPr>
            <w:tcW w:type="dxa" w:w="1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Explorar el catálogo público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Visitante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Catálogo público -&gt; consulta publicada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catalog/editorial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03, 04, 05, 17, 18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Registrar y verificar una cuenta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Visitante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-&gt; sesión -&gt; políticas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identity/security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09, 10, 23, 28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Autenticarse, cerrar sesión y aplicar autorización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Identidad -&gt; sesión -&gt; políticas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identity/security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09, 10, 23, 28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Configurar idioma, ayudas, accesibilidad y privacidad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Preferencias -&gt; configuración efectiva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identity/configuration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ARC-17, 18, 25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Buscar y abrir una canción publicada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Visitante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interna -&gt; revalidación editorial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catalog/editorial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05, 26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Reproducir la fuente y seguir la letra sincronizada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educativo -&gt; player/sync/capas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content/linguistic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06, 07, 17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Controlar las capas de lectura y traducción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educativo -&gt; player/sync/capas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content/linguistic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06, 07, 17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Consultar análisis de japonés contextual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educativo -&gt; player/sync/capas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content/linguistic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06, 07, 17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CU-MVP-09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Iniciar y gestionar una sesión de estudio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-&gt; instancia -&gt; respuesta/evidencia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11, 17,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Resolver un ejercicio contextual de completar espacios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-&gt; instancia -&gt; respuesta/evidencia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11, 17,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Evaluar la respuesta, retroalimentar y confirmar evidencia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-&gt; instancia -&gt; respuesta/evidencia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learning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11, 17,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Actualizar y consultar el progreso privado por canción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-&gt; derivación/reanudación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11, 18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Reanudar el estado confirmado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Estudiante registrado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-&gt; derivación/reanudación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progress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11, 18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Registrar catálogo musical y fuente de YouTube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de contenido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Catálogo/derechos -&gt; borrador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catalog/editorial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20,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Registrar créditos, procedencia, derechos y disponibilidad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de contenido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Catálogo/derechos -&gt; borrador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catalog/editorial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20,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Estructurar y sincronizar la letra japonesa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de contenido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especializado -&gt; revisión versionada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content/linguistic/learning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17, 20,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Preparar y revisar la traducción al español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Traductor/revisor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especializado -&gt; revisión versionada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content/linguistic/learning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17, 20,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Preparar y validar el análisis de japonés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de contenido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especializado -&gt; revisión versionada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content/linguistic/learning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17, 20,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CU-MVP-19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Preparar y validar ejercicios contextuales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de contenido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especializado -&gt; revisión versionada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content/linguistic/learning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17, 20, 27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CU-MVP-20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Ensamblar una revisión completa y someterla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 de contenido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-&gt; publicación/corrección atómica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11, 21, 25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CU-MVP-21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Revisar y publicar el paquete educativo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Administrador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-&gt; publicación/corrección atómica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11, 21, 25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CU-MVP-22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Corregir, revertir o sustituir contenido publicado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Administrador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Paquete -&gt; publicación/corrección atómica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editorial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ARC-04, 11, 21, 25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CU-MVP-23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Gestionar roles, permisos y acceso privilegiado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Administrador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Administración -&gt; RBAC/políticas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09, 21, 30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CU-MVP-24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Gestionar catálogos, parámetros y versiones efectivas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Administrador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Administración -&gt; configuración versionada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configuration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ARC-19, 25, 30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CU-MVP-25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Consultar y verificar la auditoría protegida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Administrador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Consulta protegida -&gt; auditoría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security/ops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18, 21, 29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16.1 Puertas CE y evidencia arquitectónica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850"/>
        <w:gridCol w:w="1300"/>
        <w:gridCol w:w="1700"/>
        <w:gridCol w:w="1800"/>
        <w:gridCol w:w="3710"/>
      </w:tblGrid>
      <w:tr>
        <w:trPr>
          <w:tblHeader w:val="true"/>
          <w:cantSplit/>
        </w:trPr>
        <w:tc>
          <w:tcPr>
            <w:tcW w:type="dxa" w:w="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Puerta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Tema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Casos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Controles</w:t>
            </w:r>
          </w:p>
        </w:tc>
        <w:tc>
          <w:tcPr>
            <w:tcW w:type="dxa" w:w="3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Resultado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Cuenta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CU-MVP-02, 03, 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ARC-08, 09, 23, 28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Una persona puede registrarse, iniciar sesión y acceder únicamente a acciones autorizadas.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Catálogo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05, 14, 21, 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ARC-03, 04, 05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Puede localizar y abrir una canción publicada con artista, grabación y fuente correctos.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Reproducción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CU-MVP-06, 16, 21, 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ARC-06, 07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video incrustado se reproduce y la línea japonesa activa cambia según la sincronización publicada.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Presentación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CU-MVP-04, 07, 17, 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ARC-02, 07, 17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usuario consulta japonés, furigana/kana, romaji y español conforme a las opciones P0.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Análisis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CU-MVP-08, 18, 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ARC-03, 04, 17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Una línea abre lecturas, vocabulario, kanji y gramática vinculados sin copiar ni desalinear el texto fuente.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Ejercicio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CU-MVP-09-11, 19, 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ARC-03, 11, 17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Completar espacios con opciones registra respuesta, corrección y retroalimentación reproducibles.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CU-MVP-11, 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ARC-03, 11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Una evidencia confirmada actualiza el progreso privado una sola vez y puede explicarse.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Continuidad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CU-MVP-04, 09, 12, 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ARC-03, 27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Al cerrar y volver, permanecen preferencias, respuestas confirmadas y punto de reanudación.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Curaduría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CU-MVP-14-24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ARC-04, 11, 27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Un actor autorizado prepara y publica el contenido completo sin editar directamente la base de datos.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Derechos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05, 08, 14-22, 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ARC-04, 18, 20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Toda canción, letra, traducción y recurso publicado conserva procedencia, estado y alcance de uso.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Privacidad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CU-MVP-02-04, 09-13, 23, 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ARC-09, 18, 29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Progreso, respuestas y notas no son públicos ni se comparten sin función y acción explícitas.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Independencia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CU-MVP-01, 05-08, 10, 18, 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ARC-05, 06, 18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No se invoca ninguna API externa distinta del reproductor incrustado de YouTube.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Accesibilidad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CU-MVP-01-13, 16-19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ARC-17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El recorrido esencial funciona mediante teclado y no depende únicamente de color o animación.</w:t>
            </w:r>
          </w:p>
        </w:tc>
      </w:tr>
      <w:tr>
        <w:trPr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CE-14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Auditoría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CU-MVP-02, 03, 11, 12, 14-25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ARC-14, 21</w:t>
            </w:r>
          </w:p>
        </w:tc>
        <w:tc>
          <w:tcPr>
            <w:tcW w:type="dxa" w:w="3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Publicaciones, cambios protegidos y correcciones conservan actor, fecha, motivo y objeto.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16.2 Cobertura por dominio RNF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00"/>
        <w:gridCol w:w="2900"/>
        <w:gridCol w:w="2300"/>
        <w:gridCol w:w="550"/>
        <w:gridCol w:w="291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Dom.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Calidad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Rango</w:t>
            </w:r>
          </w:p>
        </w:tc>
        <w:tc>
          <w:tcPr>
            <w:tcW w:type="dxa" w:w="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N</w:t>
            </w:r>
          </w:p>
        </w:tc>
        <w:tc>
          <w:tcPr>
            <w:tcW w:type="dxa" w:w="2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Controles ARC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Medición, conformidad y gobierno de calidad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RNF-MVP-001 a RNF-MVP-010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ARC-14, ARC-16, ARC-22, ARC-25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Rendimiento y sincronización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RNF-MVP-011 a RNF-MVP-025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ARC-02, ARC-03, ARC-05, ARC-07, ARC-26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Disponibilidad, confiabilidad y degradación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RNF-MVP-026 a RNF-MVP-037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ARC-11, ARC-12, ARC-13, ARC-15, ARC-27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Capacidad y escalabilidad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RNF-MVP-038 a RNF-MVP-045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ARC-12, ARC-13, ARC-26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Seguridad de aplicación y acceso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RNF-MVP-046 a RNF-MVP-067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ARC-08, ARC-09, ARC-10, ARC-21, ARC-23, ARC-28, ARC-30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Privacidad y protección de datos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RNF-MVP-068 a RNF-MVP-079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ARC-06, ARC-10, ARC-18, ARC-24, ARC-29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REC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Respaldo, recuperación y continuidad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RNF-MVP-080 a RNF-MVP-089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ARC-15, ARC-19, ARC-20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Accesibilidad, usabilidad e internacionalización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RNF-MVP-090 a RNF-MVP-109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ARC-02, ARC-07, ARC-17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Compatibilidad y portabilidad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RNF-MVP-110 a RNF-MVP-119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ARC-02, ARC-03, ARC-06, ARC-17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Observabilidad y auditabilidad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RNF-MVP-120 a RNF-MVP-131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ARC-14, ARC-21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Mantenibilidad, pruebas y despliegue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RNF-MVP-132 a RNF-MVP-143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ARC-01, ARC-16, ARC-19, ARC-22, ARC-30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DAT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Integridad de datos, contenido y dependencia de YouTube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RNF-MVP-144 a RNF-MVP-150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ARC-03, ARC-04, ARC-06, ARC-11, ARC-20, ARC-21, ARC-29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17. Riesgos, supuestos y secuencia de implementación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00"/>
        <w:gridCol w:w="2300"/>
        <w:gridCol w:w="2300"/>
        <w:gridCol w:w="40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ID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Riesgo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Efecto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Tratamiento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Derechos de letras/traducciones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 bloqueada o retiro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M15 exige procedencia, alcance y vigencia antes de activar.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YouTube cambia disponibilidad/política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Reproducción interrumpida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Adaptador aislado, fuente sustituible por revisión y contenido propio independiente.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Complejidad japonesa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Búsqueda/lecturas incorrectas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Campos canónicos, corpus de prueba, revisión humana y sin inferencia externa automática.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1.309 RF P0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MVP demasiado amplio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Implementar por recorridos E2E y no por módulos completos; controlar cambios.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PostgreSQL/Npgsql como decisión nueva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Curva de aprendizaje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Prueba técnica temprana, convenciones SQL y revisión de migraciones.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Relay SMTP autogestionado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Entrega de verificación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Entorno interno de piloto, cola/reintento y cambio futuro por ADR sin afectar identidad.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Sin broker/caché distribuida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Límite al crecer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Medir backlog/latencia; extraer solo si carga 3x demuestra necesidad.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Auditoría/retención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Crecimiento de datos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Partición/archivo según medición, políticas ejecutables y pronóstico de capacidad.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R-09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Accesibilidad del player externo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Control parcial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Controles propios accesibles, alternativas textuales y separación del contenido educativo.</w:t>
            </w:r>
          </w:p>
        </w:tc>
      </w:tr>
    </w:tbl>
    <w:p>
      <w:pPr>
        <w:pStyle w:val="SmallNote"/>
        <w:spacing w:after="40"/>
      </w:pPr>
    </w:p>
    <w:p>
      <w:pPr>
        <w:pStyle w:val="Heading2"/>
      </w:pPr>
      <w:r>
        <w:t>17.1 Supuestos abiertos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plataforma de alojamiento concreta aún no está seleccionada; debe cumplir réplicas, TLS, almacenamiento persistente, copias independientes y secretos.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El proveedor/implementación de objetos privados se decide antes del diseño físico; IObjectStore evita acoplar el dominio.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evaluación legal final de derechos y retención corresponde al responsable del producto; la arquitectura solo impone evidencia y bloqueo.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La autenticación de estudiantes inicia en AAL1 reforzado; actores privilegiados requieren MFA. Passkeys pueden incorporarse sin sustituir los controles P0.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Calibri"/>
          <w:b w:val="0"/>
          <w:i w:val="0"/>
          <w:color w:val="000000"/>
          <w:sz w:val="20"/>
        </w:rPr>
        <w:t>No se necesita procesamiento automático de audio. Cualquier transcripción se realiza dentro del flujo editorial del sistema y con revisión humana.</w:t>
      </w:r>
    </w:p>
    <w:p>
      <w:pPr>
        <w:pStyle w:val="Heading2"/>
      </w:pPr>
      <w:r>
        <w:t>17.2 Orden recomendado de construcción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700"/>
        <w:gridCol w:w="1800"/>
        <w:gridCol w:w="68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Fase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Incremento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Salida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Cimientos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Repositorio, contenedores, observabilidad, PostgreSQL, migraciones, secretos, CI y design system.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Identidad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CU-02, 03, 23; cuenta, sesión, roles, políticas, auditoría y configuración mínima.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Catálogo/editorial base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CU-01, 05, 14, 15, 20-22; objetos canónicos, derechos, revisión y publicación.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Contenido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CU-06-08, 16-18; letra, sincronización, traducción y análisis.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Práctica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CU-09-11, 19; sesiones, ejercicios, evaluación e idempotencia.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Progreso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CU-04, 12, 13; preferencias, progreso privado, reanudación y correcciones.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Operación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7"/>
              </w:rPr>
              <w:t>Carga, seguridad, accesibilidad, respaldo/restauración y CE/E2E completos.</w:t>
            </w:r>
          </w:p>
        </w:tc>
      </w:tr>
    </w:tbl>
    <w:p>
      <w:pPr>
        <w:pStyle w:val="SmallNote"/>
        <w:spacing w:after="40"/>
      </w:pPr>
    </w:p>
    <w:p>
      <w:pPr>
        <w:pStyle w:val="CalloutText"/>
        <w:keepLines/>
        <w:spacing w:before="80" w:after="160"/>
        <w:ind w:left="160" w:right="160"/>
        <w:shd w:fill="E8F3E8"/>
        <w:pBdr>
          <w:top w:val="single" w:sz="8" w:space="5" w:color="2E7D32"/>
          <w:left w:val="single" w:sz="8" w:space="5" w:color="2E7D32"/>
          <w:bottom w:val="single" w:sz="8" w:space="5" w:color="2E7D32"/>
          <w:right w:val="single" w:sz="8" w:space="5" w:color="2E7D32"/>
        </w:pBdr>
      </w:pPr>
      <w:r>
        <w:rPr>
          <w:rFonts w:ascii="Calibri" w:hAnsi="Calibri" w:eastAsia="Calibri"/>
          <w:b/>
          <w:i w:val="0"/>
          <w:color w:val="2E7D32"/>
          <w:sz w:val="20"/>
        </w:rPr>
        <w:t xml:space="preserve">Puerta al siguiente artefacto. </w:t>
      </w:r>
      <w:r>
        <w:rPr>
          <w:rFonts w:ascii="Calibri" w:hAnsi="Calibri" w:eastAsia="Calibri"/>
          <w:b w:val="0"/>
          <w:i w:val="0"/>
          <w:color w:val="000000"/>
          <w:sz w:val="19"/>
        </w:rPr>
        <w:t>Con esta arquitectura aprobada puede iniciarse el diseño lógico de datos: entidades, agregados, relaciones, restricciones, esquemas y estrategia de migraciones. No se debe generar el DER copiando los 19 módulos como tablas; se deriva de los objetos canónicos y de sus propietarios definidos aquí.</w:t>
      </w:r>
    </w:p>
    <w:p>
      <w:pPr>
        <w:pStyle w:val="Heading1"/>
      </w:pPr>
      <w:r>
        <w:t>18. Referencias</w:t>
      </w:r>
    </w:p>
    <w:p>
      <w:r>
        <w:t>Las referencias tecnológicas se consultaron el 22 de julio de 2026. La versión exacta de cada dependencia se fijará por liberación; la arquitectura no autoriza adoptar previews ni cambiar versiones mayores sin ADR y prueba de compatibilidad.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[1] </w:t>
      </w:r>
      <w:hyperlink r:id="rId21">
        <w:r>
          <w:rPr>
            <w:color w:val="2E74B5"/>
            <w:u w:val="single"/>
          </w:rPr>
          <w:t>Microsoft - Política de soporte de .NET y .NET Core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Base para seleccionar .NET 10 LTS y mantener parches soportados.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[2] </w:t>
      </w:r>
      <w:hyperlink r:id="rId22">
        <w:r>
          <w:rPr>
            <w:color w:val="2E74B5"/>
            <w:u w:val="single"/>
          </w:rPr>
          <w:t>Microsoft Learn - Novedades de Entity Framework Core 10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Compatibilidad de EF Core 10 con .NET 10 y ciclo LTS.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[3] </w:t>
      </w:r>
      <w:hyperlink r:id="rId23">
        <w:r>
          <w:rPr>
            <w:color w:val="2E74B5"/>
            <w:u w:val="single"/>
          </w:rPr>
          <w:t>Microsoft Learn - Health checks en ASP.NET Core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Endpoints de salud para readiness/liveness y monitoreo.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[4] </w:t>
      </w:r>
      <w:hyperlink r:id="rId24">
        <w:r>
          <w:rPr>
            <w:color w:val="2E74B5"/>
            <w:u w:val="single"/>
          </w:rPr>
          <w:t>React - Documentación de la versión actual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Línea base React 19.2 consultada el 22 de julio de 2026.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[5] </w:t>
      </w:r>
      <w:hyperlink r:id="rId25">
        <w:r>
          <w:rPr>
            <w:color w:val="2E74B5"/>
            <w:u w:val="single"/>
          </w:rPr>
          <w:t>PostgreSQL - Documentación de PostgreSQL 18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Motor relacional seleccionado y documentación operativa.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[6] </w:t>
      </w:r>
      <w:hyperlink r:id="rId26">
        <w:r>
          <w:rPr>
            <w:color w:val="2E74B5"/>
            <w:u w:val="single"/>
          </w:rPr>
          <w:t>PostgreSQL - Extensión pg_trgm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Búsqueda interna por similitud y soporte de índices.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[7] </w:t>
      </w:r>
      <w:hyperlink r:id="rId27">
        <w:r>
          <w:rPr>
            <w:color w:val="2E74B5"/>
            <w:u w:val="single"/>
          </w:rPr>
          <w:t>Npgsql - Proveedor .NET para PostgreSQL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Acceso ADO.NET y proveedor EF Core para PostgreSQL.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[8] </w:t>
      </w:r>
      <w:hyperlink r:id="rId28">
        <w:r>
          <w:rPr>
            <w:color w:val="2E74B5"/>
            <w:u w:val="single"/>
          </w:rPr>
          <w:t>YouTube - IFrame Player API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Eventos y control permitido del reproductor incrustado.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[9] </w:t>
      </w:r>
      <w:hyperlink r:id="rId29">
        <w:r>
          <w:rPr>
            <w:color w:val="2E74B5"/>
            <w:u w:val="single"/>
          </w:rPr>
          <w:t>YouTube - Parámetros de reproductores incrustados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Uso de origin y parámetros admitidos.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[10] </w:t>
      </w:r>
      <w:hyperlink r:id="rId30">
        <w:r>
          <w:rPr>
            <w:color w:val="2E74B5"/>
            <w:u w:val="single"/>
          </w:rPr>
          <w:t>OWASP - Application Security Verification Standard 5.0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Línea base verificable de seguridad de aplicación.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[11] </w:t>
      </w:r>
      <w:hyperlink r:id="rId31">
        <w:r>
          <w:rPr>
            <w:color w:val="2E74B5"/>
            <w:u w:val="single"/>
          </w:rPr>
          <w:t>NIST SP 800-63B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Contraseñas, autenticadores, sesiones y niveles de aseguramiento.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[12] </w:t>
      </w:r>
      <w:hyperlink r:id="rId32">
        <w:r>
          <w:rPr>
            <w:color w:val="2E74B5"/>
            <w:u w:val="single"/>
          </w:rPr>
          <w:t>W3C - Web Content Accessibility Guidelines 2.2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Conformidad AA y pruebas de accesibilidad.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[13] </w:t>
      </w:r>
      <w:hyperlink r:id="rId33">
        <w:r>
          <w:rPr>
            <w:color w:val="2E74B5"/>
            <w:u w:val="single"/>
          </w:rPr>
          <w:t>OpenTelemetry - .NET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Instrumentación abierta de la aplicación .NET.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[14] </w:t>
      </w:r>
      <w:hyperlink r:id="rId34">
        <w:r>
          <w:rPr>
            <w:color w:val="2E74B5"/>
            <w:u w:val="single"/>
          </w:rPr>
          <w:t>Docker - Compose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Entorno local reproducible con contenedores.</w:t>
      </w:r>
    </w:p>
    <w:p>
      <w:pPr>
        <w:spacing w:after="100"/>
        <w:ind w:left="288" w:hanging="288"/>
      </w:pPr>
      <w:r>
        <w:rPr>
          <w:rFonts w:ascii="Calibri" w:hAnsi="Calibri" w:eastAsia="Calibri"/>
          <w:b/>
          <w:i w:val="0"/>
          <w:color w:val="1F4D78"/>
          <w:sz w:val="19"/>
        </w:rPr>
        <w:t xml:space="preserve">[15] </w:t>
      </w:r>
      <w:hyperlink r:id="rId35">
        <w:r>
          <w:rPr>
            <w:color w:val="2E74B5"/>
            <w:u w:val="single"/>
          </w:rPr>
          <w:t>C4 Model - diagramas de arquitectura</w:t>
        </w:r>
      </w:hyperlink>
      <w:r>
        <w:rPr>
          <w:rFonts w:ascii="Calibri" w:hAnsi="Calibri" w:eastAsia="Calibri"/>
          <w:b w:val="0"/>
          <w:i w:val="0"/>
          <w:color w:val="000000"/>
          <w:sz w:val="19"/>
        </w:rPr>
        <w:t>. Estructura de las vistas de contexto, contenedores y componentes.</w:t>
      </w:r>
    </w:p>
    <w:p>
      <w:r>
        <w:br w:type="page"/>
      </w:r>
    </w:p>
    <w:p>
      <w:pPr>
        <w:pStyle w:val="Heading1"/>
      </w:pPr>
      <w:r>
        <w:t>Anexo A. Catálogo inicial de endpoints</w:t>
      </w:r>
    </w:p>
    <w:p>
      <w:r>
        <w:t>El catálogo es una línea base para diseño y pruebas, no una autorización para exponer entidades internas. Cada endpoint debe enlazarse a un caso de uso, política, DTO, código de error, control de concurrencia e idempotencia aplicables.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900"/>
        <w:gridCol w:w="3400"/>
        <w:gridCol w:w="1400"/>
        <w:gridCol w:w="2550"/>
        <w:gridCol w:w="111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Método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Ruta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Acceso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Operación</w:t>
            </w:r>
          </w:p>
        </w:tc>
        <w:tc>
          <w:tcPr>
            <w:tcW w:type="dxa" w:w="1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5"/>
              </w:rPr>
              <w:t>Prop.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/api/v1/auth/register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Registrar cuenta y consentimiento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M01/M18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/api/v1/auth/verify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Consumir verificación de un solo uso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/api/v1/auth/login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sesión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/api/v1/auth/logout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Autenticado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Revocar sesión actual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/api/v1/auth/recovery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Solicitar recuperación uniforme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/api/v1/auth/reset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Cambiar credencial con token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/api/v1/me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Autenticado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perfil propio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GET/PUT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/api/v1/me/preferences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Consultar/reemplazar preferencias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DELETE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/api/v1/me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Solicitar eliminación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M01/M18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/api/v1/catalog/songs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Buscar/listar publicaciones elegibles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/api/v1/catalog/songs/{songId}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Abrir ficha publicada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M02/M15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/api/v1/recordings/{id}/learning-package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Público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Paquete coherente publicado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M02-M05/M15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/api/v1/study-sessions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Iniciar sesión de estudio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/api/v1/study-sessions/{id}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Recuperar sesión propia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/api/v1/study-sessions/{id}/instances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Obtener instancia congelada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M07/M08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/api/v1/instances/{id}/answers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Confirmar respuesta idempotente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/api/v1/me/progress/songs/{recordingId}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progreso privado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/api/v1/me/resume/{recordingId}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Estudiante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Recuperar punto confirmado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M07/M09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/api/v1/editor/artists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artista borrador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/api/v1/editor/works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obra borrador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/api/v1/editor/recordings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grabación/fuente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/api/v1/editor/recordings/{id}/lyrics-revisions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revisión de letra/sync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/api/v1/editor/lyrics-revisions/{id}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Autoguardar revisión con If-Match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/api/v1/editor/lyrics-revisions/{id}/translations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Traductor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traducción versionada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/api/v1/editor/lyrics-revisions/{id}/analyses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análisis versionado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/api/v1/editor/lyrics-revisions/{id}/exercises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Crear ejercicios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M08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/api/v1/editor/packages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Ensamblar paquete congelado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/api/v1/editor/packages/{id}/submit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Editor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Someter a revisión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/api/v1/editor/packages/{id}/publish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Publicar atómicamente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/api/v1/editor/publications/{id}/revert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Revertir con motivo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GET/PUT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/api/v1/admin/roles/{id}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Consultar/cambiar rol versionado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GET/PUT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/api/v1/admin/parameters/{key}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Versionar parámetro no secreto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POST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/api/v1/admin/parameters/{key}/publish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Administrador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Activar versión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GET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/api/v1/admin/audit-events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Auditor autorizado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Consultar auditoría protegida</w:t>
            </w:r>
          </w:p>
        </w:tc>
        <w:tc>
          <w:tcPr>
            <w:tcW w:type="dxa" w:w="1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M18</w:t>
            </w:r>
          </w:p>
        </w:tc>
      </w:tr>
    </w:tbl>
    <w:p>
      <w:pPr>
        <w:pStyle w:val="SmallNote"/>
        <w:spacing w:after="40"/>
      </w:pPr>
    </w:p>
    <w:p>
      <w:pPr>
        <w:pStyle w:val="Heading1"/>
      </w:pPr>
      <w:r>
        <w:t>Anexo B. Catálogo inicial de eventos</w:t>
      </w:r>
    </w:p>
    <w:p>
      <w:r>
        <w:t>Todos los eventos incluyen event_id UUIDv7, occurred_at UTC, schema_version, correlation_id y causation_id. El payload se minimiza; los consumidores recuperan datos autorizados del propietario cuando sea necesario.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2550"/>
        <w:gridCol w:w="1100"/>
        <w:gridCol w:w="1500"/>
        <w:gridCol w:w="4210"/>
      </w:tblGrid>
      <w:tr>
        <w:trPr>
          <w:tblHeader w:val="true"/>
          <w:cantSplit/>
        </w:trPr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Evento</w:t>
            </w:r>
          </w:p>
        </w:tc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Productor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Consumidor</w:t>
            </w:r>
          </w:p>
        </w:tc>
        <w:tc>
          <w:tcPr>
            <w:tcW w:type="dxa" w:w="4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Contenido mínimo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identity.account-verified.v1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Sujeto, cuenta, momento y correlación; sin credencial.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identity.session-revoked.v1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M01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Sujeto, sesión, motivo y momento.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catalog.recording-updated.v1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M15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Identificador, revisión y campos públicos afectados.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editorial.package-submitted.v1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Paquete congelado, actor, revisión y correlación.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editorial.publication-activated.v1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M02-M09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Publicación, revisiones componentes, audiencia y vigencia.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editorial.publication-withdrawn.v1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M02/M07/M09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Publicación, motivo, sustituto y vigencia.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learning.answer-confirmed.v1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M06/M09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Instancia, usuario, respuesta lógica y revisión; sin texto libre innecesario.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learning.evidence-confirmed.v1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M06/M09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Evidencia, competencia, canción, resultado y versiones.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learning.evidence-corrected.v1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M06/M09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Evidencia anterior/nueva, motivo, actor y versión.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progress.song-updated.v1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M07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Usuario, grabación, derivación y punto confirmado.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configuration.version-published.v1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Todos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Clave, versión, vigencia y ámbito; nunca secreto.</w:t>
            </w:r>
          </w:p>
        </w:tc>
      </w:tr>
      <w:tr>
        <w:trPr>
          <w:cantSplit/>
        </w:trP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security.role-changed.v1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M18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M01/M15/M19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Sujeto, rol/alcance anterior y nuevo, actor y motivo.</w:t>
            </w:r>
          </w:p>
        </w:tc>
      </w:tr>
    </w:tbl>
    <w:p>
      <w:pPr>
        <w:pStyle w:val="SmallNote"/>
        <w:spacing w:after="40"/>
      </w:pPr>
    </w:p>
    <w:p>
      <w:r>
        <w:br w:type="page"/>
      </w:r>
    </w:p>
    <w:p>
      <w:pPr>
        <w:pStyle w:val="Heading1"/>
      </w:pPr>
      <w:r>
        <w:t>Anexo C. Matriz completa RNF -&gt; arquitectura</w:t>
      </w:r>
    </w:p>
    <w:p>
      <w:r>
        <w:t>La matriz cubre los 150 RNF sin reemplazar su texto, umbral ni método de verificación en el documento no funcional. Los controles ARC señalan dónde debe encontrarse el mecanismo; la evidencia conserva el método específico de cada RNF.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8C4CE"/>
          <w:left w:val="single" w:sz="6" w:space="0" w:color="B8C4CE"/>
          <w:bottom w:val="single" w:sz="6" w:space="0" w:color="B8C4CE"/>
          <w:right w:val="single" w:sz="6" w:space="0" w:color="B8C4CE"/>
          <w:insideH w:val="single" w:sz="6" w:space="0" w:color="B8C4CE"/>
          <w:insideV w:val="single" w:sz="6" w:space="0" w:color="B8C4CE"/>
        </w:tblBorders>
      </w:tblPr>
      <w:tblGrid>
        <w:gridCol w:w="1150"/>
        <w:gridCol w:w="650"/>
        <w:gridCol w:w="2600"/>
        <w:gridCol w:w="1900"/>
        <w:gridCol w:w="3060"/>
      </w:tblGrid>
      <w:tr>
        <w:trPr>
          <w:tblHeader w:val="true"/>
          <w:cantSplit/>
        </w:trPr>
        <w:tc>
          <w:tcPr>
            <w:tcW w:type="dxa" w:w="1150"/>
            <w:shd w:fill="E8EEF5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RNF</w:t>
            </w:r>
          </w:p>
        </w:tc>
        <w:tc>
          <w:tcPr>
            <w:tcW w:type="dxa" w:w="650"/>
            <w:shd w:fill="E8EEF5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Dom.</w:t>
            </w:r>
          </w:p>
        </w:tc>
        <w:tc>
          <w:tcPr>
            <w:tcW w:type="dxa" w:w="2600"/>
            <w:shd w:fill="E8EEF5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Requisito</w:t>
            </w:r>
          </w:p>
        </w:tc>
        <w:tc>
          <w:tcPr>
            <w:tcW w:type="dxa" w:w="1900"/>
            <w:shd w:fill="E8EEF5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Controles</w:t>
            </w:r>
          </w:p>
        </w:tc>
        <w:tc>
          <w:tcPr>
            <w:tcW w:type="dxa" w:w="3060"/>
            <w:shd w:fill="E8EEF5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Header"/>
            </w:pPr>
            <w:r/>
            <w:r>
              <w:rPr>
                <w:rFonts w:ascii="Calibri" w:hAnsi="Calibri" w:eastAsia="Calibri"/>
                <w:b/>
                <w:i w:val="0"/>
                <w:color w:val="0B2545"/>
                <w:sz w:val="14"/>
              </w:rPr>
              <w:t>Evidencia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de las puertas de salida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matriz RNF-CE-F revisada y sin celdas vacías.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obligatoria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expediente de liberación y revisión por QA.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de referencia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script, configuración y reporte de carga versionados.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Conjunto de datos de referencia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inventario y conteo del conjunto de prueba.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Paridad de ambientes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comparación automatizada de configuración y revisión técnica.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mínimo de muestra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reporte con muestra, calentamiento y ventana de medición.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Separación de YouTube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trazas diferenciadas y prueba de indisponibilidad externa.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común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verificación de sincronización y comparación de marcas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RNF-MVP-009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Percentiles y tasas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plantilla de informe y validación automática de campos.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MED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Control de excepciones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ARC-16, ARC-22, ARC-25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registro de excepciones y bloqueo automático de liberación.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visual principal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medición de campo; laboratorio equivalente mientras no exista muestra real.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Respuesta a interacción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RUM y prueba interactiva de los flujos CE.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Estabilidad visual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RUM y prueba sintética con reproductor reservado.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al primer byte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sintética desde el perfil de red definido.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Lecturas de API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carga por endpoint y panel de latencia.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Escrituras de API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carga sobre intentos, progreso, preferencias y edición.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Búsqueda del catálogo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con consultas frecuentes, parciales y sin resultado.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Apertura de canción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navegación sintética desde resultados de búsqueda.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RNF-MVP-019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Cambio de ayudas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medición de interacción sobre una canción de tamaño máximo.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Evaluación de ejercicio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ejercicios válidos, inválidos y repetidos.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Persistencia de progreso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transaccional con reinicio inmediato del proceso.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Reanudación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continuidad CE-08 en dos sesiones.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Desfase de letra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reproducción instrumentada con marcas conocidas.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Resincronización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100 operaciones de seek, pausa y reanudación.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Publicación editorial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ARC-05, ARC-07,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publicación, conflicto y reversión.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Disponibilidad mensual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monitor sintético y cálculo mensual del SLO.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Duración de incidente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bitácora de incidentes y línea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Mantenimiento planificado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calendario, aviso y medición de ventana.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RNF-MVP-029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Éxito transaccional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pruebas de carga y métricas por operación.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Errores de servidor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panel, alerta y reporte mensual.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Reintentos seguros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inyección de timeout y revisión de idempotencia.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Durabilidad de escritura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fallas y reconciliación de datos.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Falla del reproductor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simulación de bloqueo de dominios de YouTube.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Estado de edición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cierre forzado del navegador y del servicio.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Idempotencia funcional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con la misma clave de idempotencia.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Apagado controlado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durante carga sostenida.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DIS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dependencia interna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ARC-11, ARC-12, ARC-13, ARC-15, ARC-27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recuperación por dependencia.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Carga nominal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carga integrada con datos nominales.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RNF-MVP-039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Ráfaga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ráfaga y curva de recuperación.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Volumen nominal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carga completa y consultas representativas.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Crecimiento de datos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comparativa con conjunto 3x.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Crecimiento de concurrencia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técnica y revisión de arquitectura.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Trabajos en segundo plano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concurrente y métricas de saturación.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Capacidad de almacenamiento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alarma probada y reporte de crecimiento.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CAP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Regresión de capacidad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ARC-12, ARC-13, ARC-26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regla de CI/CD y evidencia vinculada al cambio.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Línea base ASVS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matriz ASVS con aplicabilidad, prueba y resultado.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Transporte seguro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escaneo TLS, cabeceras y navegación automatizada.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Cifrado en reposo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inventario, configuración y prueba de acceso.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RNF-MVP-049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Contraseñas no reversibles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inspección de esquema, código y registros.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Longitud de contraseña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pruebas de frontera y casos Unicode.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Contraseñas comprometidas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casos de bloqueo y revisión de política.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Derivación de contraseña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revisión criptográfica y benchmark documentado.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Limitación de login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abuso y alerta.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Recuperación de cuenta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reutilización, expiración y revocación.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privilegiada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pruebas de reloj, expiración y reautenticación.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Sesión de estudiante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pruebas de expiración y cambio sensible.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Cookies y CSRF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inspección de cookies y pruebas CSRF.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Autorización en servidor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matriz rol-endpoint y pruebas negativas.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RNF-MVP-059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Mínimo privilegio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exportación de permisos y aprobación del responsable.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directo a objetos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batería IDOR/BOLA automatizada y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Entrada y salida segura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SAST, DAST y pruebas de inyección.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Política del navegador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escaneo de cabeceras y CSP.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Gestión de secretos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escaneo de secretos y simulacro de rotación.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Eventos de seguridad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ejecución de casos y comparación con auditoría.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Datos sensibles en transporte de aplicación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inspección de tráfico y almacenamiento del navegador.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Dependencias vulnerables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Pre/Cont: SCA y SBOM del artefacto.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SEG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ofensiva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ARC-08, ARC-09, ARC-10, ARC-21, ARC-23, ARC-28,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informe de pruebas y retest de correcciones.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Privacidad por defecto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creación de cuentas y revisión de permisos.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RNF-MVP-069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Inventario de datos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catálogo de datos aprobado.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Consentimiento versionado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funcional y evidencia de auditoría.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 publicación educativa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inventario de API y pruebas de acceso.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Independencia lingüística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captura de red y allowlist de destinos.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Modo de privacidad de YouTube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inspección DOM, red y consentimiento.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Minimización de registros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escaneo automático de muestras de log.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Datos de no producción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control de carga y muestreo trimestral.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Solicitud de datos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ticket, identidad verificada y registro de cumplimiento.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Eliminación de cuenta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cuenta y reporte de purga.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Aplicación de retención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reporte automático y revisión del propietario.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RNF-MVP-079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a datos personales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ARC-06, ARC-10, ARC-18, ARC-24,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lista de accesos, aprobación y evidencia de revocación.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Objetivo de punto de recuperación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simulación de pérdida y comparación de marcas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Objetivo de tiempo de recuperación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ejercicio cronometrado de restauración.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Frecuencia de copia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configuración y monitoreo de trabajos.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Retención de copias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inventario de puntos y reporte de caducidad.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Separación de falla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revisión de arquitectura y prueba de indisponibilidad primaria.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Integridad de respaldo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panel de respaldos y prueba de alerta.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restauración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acta de ejercicio con tiempos y conteos.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de almacenes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matriz de componentes y procedimiento de restauración.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Acceso a copias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permisos y revisión de eventos.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RNF-MVP-089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Plan de continuidad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ARC-15, ARC-19, ARC-20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revisión documental y simulacro.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Conformidad WCAG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informe por criterio, página y estado.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Operación por teclado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recorrido manual documentado.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Foco visible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revisión visual en todos los breakpoints.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Contraste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medición automática y muestreo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Información no dependiente del color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revisión en escala de grises y casos funcionales.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Ampliación de texto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en todas las páginas esenciales.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Reflujo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matriz de breakpoints y captura de evidencia.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de objetivo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auditoría geométrica automatizada y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Nombre, rol y estado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inspección del árbol de accesibilidad.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RNF-MVP-099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Errores de formulario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casos inválidos de registro, login, edición y ejercicio.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Lectores de pantalla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guion manual y registro de resultados.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Estructura semántica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auditor automático y revisión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Idiomas y ruby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inspección DOM y lector de pantalla.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Actualización de letra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reproducción con lector de pantalla.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Movimiento y destellos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revisión visual y prueba de preferencia.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Alternativa al audio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recorrido con audio silenciado.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respuesta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inspección de actividades P0.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Autenticación accesible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con gestor de contraseñas y teclado.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Interfaz en español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inventario de cadenas y revisión editorial.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RNF-MVP-109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ACC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 de usabilidad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ARC-07,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protocolo, consentimiento y reporte de resultados.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Navegadores de escritorio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matriz automatizada y pruebas manuales.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Navegadores móviles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dispositivos reales o granja representativa.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Rango responsivo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pruebas visuales en breakpoints definidos.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Tamaño del reproductor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inspección en todos los breakpoints.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Codificación Unicode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entrada, base, API, exportación interna y render.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tipográfica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comparación visual automatizada y manual.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Fechas y zonas horarias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casos UTC-12, UTC y UTC+14.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Red degradada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perfil de red controlado.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Cookies de terceros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de navegador en modo restrictivo.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RNF-MVP-119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COM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Ejecución web estándar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ARC-02, ARC-03, ARC-06, ARC-17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prueba en perfil limpio de navegador.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Identificador de correlación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trazas de extremo a extremo.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Registro estructurado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validación de esquema de logs.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Métricas mínimas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panel y consulta de serie temporal.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Panel de flujos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revisión de dashboard.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Monitoreo sintético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historial y alerta de monitor.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Umbrales de alerta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cada regla.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detección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simulacro y línea de tiempo.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Tiempo de atención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historial de alertas y guardia.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Privacidad de telemetría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escáner y revisión de incidentes.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RNF-MVP-129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Retención de registros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Op: política y verificación mensual de disponibilidad.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Contenido de auditoría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casos CE-09, CE-10 y CE-14.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OBS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Resistencia de auditoría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ARC-14, ARC-21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prueba de permisos e integridad.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Propiedad modular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Pre/Cont: revisión de arquitectura y repositorio.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Contratos versionados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catálogo de contratos y prueba de consumidor.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Trazabilidad técnica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reporte automático de trazabilidad.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Cobertura unitaria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reporte de cobertura del artefacto.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integración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suite de integración aprobada.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Pruebas de extremo a extremo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ejecución E2E y evidencias.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Estabilidad de pruebas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Pre/Cont: historial de CI.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RNF-MVP-139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Duración de integración continua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Cont: métricas de las últimas 30 ejecuciones.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Revisión de cambios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Pre/Cont: reglas de repositorio y auditoría de PR.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RNF-MVP-141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Inventario de componentes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artefactos firmados o asociados a la versión.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RNF-MVP-142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Migraciones de datos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ensayo de migración y comparación de integridad.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RNF-MVP-143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MAN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Despliegue y reversión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ARC-01, ARC-16, ARC-19, ARC-22, ARC-30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simulacro de despliegue y reversión.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RNF-MVP-144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Integridad referencial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ARC-04, ARC-06, ARC-11, ARC-20, ARC-21,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consulta de integridad y restricciones de base.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RNF-MVP-145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Versión publicada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ARC-04, ARC-06, ARC-11, ARC-20, ARC-21,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publicar, corregir, revertir y comparar historial.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RNF-MVP-146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Procedencia y derechos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ARC-04, ARC-06, ARC-11, ARC-20, ARC-21,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regla de validación y muestreo de catálogo.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RNF-MVP-147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Edición controlada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ARC-04, ARC-06, ARC-11, ARC-20, ARC-21,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revisión de permisos y bitácora.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RNF-MVP-148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Evidencia lógica única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ARC-04, ARC-06, ARC-11, ARC-20, ARC-21,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Pre: concurrencia y repetición de la misma operación.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RNF-MVP-149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Degradación de YouTube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ARC-04, ARC-06, ARC-11, ARC-20, ARC-21,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errores de player, video no embebible y bloqueo de red.</w:t>
            </w:r>
          </w:p>
        </w:tc>
      </w:tr>
      <w:tr>
        <w:trPr>
          <w:cantSplit/>
        </w:trPr>
        <w:tc>
          <w:tcPr>
            <w:tcW w:type="dxa" w:w="11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RNF-MVP-150</w:t>
            </w:r>
          </w:p>
        </w:tc>
        <w:tc>
          <w:tcPr>
            <w:tcW w:type="dxa" w:w="65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DAT</w:t>
            </w:r>
          </w:p>
        </w:tc>
        <w:tc>
          <w:tcPr>
            <w:tcW w:type="dxa" w:w="26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Única dependencia externa</w:t>
            </w:r>
          </w:p>
        </w:tc>
        <w:tc>
          <w:tcPr>
            <w:tcW w:type="dxa" w:w="190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ARC-03, ARC-04, ARC-06, ARC-11, ARC-20, ARC-21, ARC-29</w:t>
            </w:r>
          </w:p>
        </w:tc>
        <w:tc>
          <w:tcPr>
            <w:tcW w:type="dxa" w:w="3060"/>
            <w:tcMar>
              <w:top w:w="50" w:type="dxa"/>
              <w:start w:w="120" w:type="dxa"/>
              <w:bottom w:w="50" w:type="dxa"/>
              <w:end w:w="120" w:type="dxa"/>
            </w:tcMar>
            <w:vAlign w:val="center"/>
          </w:tcPr>
          <w:p>
            <w:pPr>
              <w:pStyle w:val="TableText"/>
            </w:pPr>
            <w:r/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Pre/Op: captura de red, inventario de destinos y revisión de almacenamiento.</w:t>
            </w:r>
          </w:p>
        </w:tc>
      </w:tr>
    </w:tbl>
    <w:p>
      <w:pPr>
        <w:pStyle w:val="SmallNote"/>
        <w:spacing w:after="40"/>
      </w:pP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666666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6666"/>
        <w:sz w:val="17"/>
      </w:rPr>
      <w:t>ARQUITECTURA DEL SISTEMA MVP · M01-M19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666666"/>
        <w:sz w:val="17"/>
      </w:rPr>
      <w:t>ARQUITECTURA DEL SISTEMA MVP · M01-M19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5">
    <w:abstractNumId w:val="24"/>
  </w:num>
  <w:abstractNum w:abstractNumId="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6">
    <w:abstractNumId w:val="25"/>
  </w:num>
  <w:abstractNum w:abstractNumId="2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7">
    <w:abstractNumId w:val="26"/>
  </w:num>
  <w:abstractNum w:abstractNumId="2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8">
    <w:abstractNumId w:val="27"/>
  </w:num>
  <w:abstractNum w:abstractNumId="2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  <w:lang w:val="es-C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  <w:lang w:val="es-C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lang w:val="es-C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Kicker">
    <w:name w:val="Cover Kicker"/>
    <w:pPr>
      <w:spacing w:before="0" w:after="120" w:line="240" w:lineRule="auto"/>
    </w:pPr>
    <w:rPr>
      <w:rFonts w:ascii="Calibri" w:hAnsi="Calibri"/>
      <w:b/>
      <w:color w:val="2E74B5"/>
      <w:sz w:val="20"/>
      <w:lang w:val="es-CR"/>
    </w:rPr>
  </w:style>
  <w:style w:type="paragraph" w:customStyle="1" w:styleId="CoverTitle">
    <w:name w:val="Cover Title"/>
    <w:pPr>
      <w:spacing w:before="0" w:after="160" w:line="240" w:lineRule="auto"/>
    </w:pPr>
    <w:rPr>
      <w:rFonts w:ascii="Calibri" w:hAnsi="Calibri"/>
      <w:b/>
      <w:color w:val="0B2545"/>
      <w:sz w:val="54"/>
      <w:lang w:val="es-CR"/>
    </w:rPr>
  </w:style>
  <w:style w:type="paragraph" w:customStyle="1" w:styleId="CoverSubtitle">
    <w:name w:val="Cover Subtitle"/>
    <w:pPr>
      <w:spacing w:before="0" w:after="400" w:line="264" w:lineRule="auto"/>
    </w:pPr>
    <w:rPr>
      <w:rFonts w:ascii="Calibri" w:hAnsi="Calibri"/>
      <w:b w:val="0"/>
      <w:color w:val="1F4D78"/>
      <w:sz w:val="28"/>
      <w:lang w:val="es-CR"/>
    </w:rPr>
  </w:style>
  <w:style w:type="paragraph" w:customStyle="1" w:styleId="TableText">
    <w:name w:val="Table Text"/>
    <w:pPr>
      <w:spacing w:before="0" w:after="0" w:line="252" w:lineRule="auto"/>
    </w:pPr>
    <w:rPr>
      <w:rFonts w:ascii="Calibri" w:hAnsi="Calibri"/>
      <w:b w:val="0"/>
      <w:color w:val="000000"/>
      <w:sz w:val="17"/>
      <w:lang w:val="es-CR"/>
    </w:rPr>
  </w:style>
  <w:style w:type="paragraph" w:customStyle="1" w:styleId="TableHeader">
    <w:name w:val="Table Header"/>
    <w:pPr>
      <w:spacing w:before="0" w:after="0" w:line="240" w:lineRule="auto"/>
    </w:pPr>
    <w:rPr>
      <w:rFonts w:ascii="Calibri" w:hAnsi="Calibri"/>
      <w:b/>
      <w:color w:val="0B2545"/>
      <w:sz w:val="17"/>
      <w:lang w:val="es-CR"/>
    </w:rPr>
  </w:style>
  <w:style w:type="paragraph" w:customStyle="1" w:styleId="SmallNote">
    <w:name w:val="Small Note"/>
    <w:pPr>
      <w:spacing w:before="0" w:after="80" w:line="264" w:lineRule="auto"/>
    </w:pPr>
    <w:rPr>
      <w:rFonts w:ascii="Calibri" w:hAnsi="Calibri"/>
      <w:b w:val="0"/>
      <w:color w:val="666666"/>
      <w:sz w:val="18"/>
      <w:lang w:val="es-CR"/>
    </w:rPr>
  </w:style>
  <w:style w:type="paragraph" w:customStyle="1" w:styleId="CalloutTitle">
    <w:name w:val="Callout Title"/>
    <w:pPr>
      <w:spacing w:before="0" w:after="60" w:line="240" w:lineRule="auto"/>
    </w:pPr>
    <w:rPr>
      <w:rFonts w:ascii="Calibri" w:hAnsi="Calibri"/>
      <w:b/>
      <w:color w:val="0B2545"/>
      <w:sz w:val="20"/>
      <w:lang w:val="es-CR"/>
    </w:rPr>
  </w:style>
  <w:style w:type="paragraph" w:customStyle="1" w:styleId="CalloutText">
    <w:name w:val="Callout Text"/>
    <w:pPr>
      <w:spacing w:before="0" w:after="0" w:line="276" w:lineRule="auto"/>
    </w:pPr>
    <w:rPr>
      <w:rFonts w:ascii="Calibri" w:hAnsi="Calibri"/>
      <w:b w:val="0"/>
      <w:color w:val="000000"/>
      <w:sz w:val="19"/>
      <w:lang w:val="es-CR"/>
    </w:rPr>
  </w:style>
  <w:style w:type="paragraph" w:customStyle="1" w:styleId="FigureCaption">
    <w:name w:val="Figure Caption"/>
    <w:pPr>
      <w:keepNext w:val="0"/>
      <w:spacing w:before="80" w:after="160"/>
    </w:pPr>
    <w:rPr>
      <w:rFonts w:ascii="Calibri" w:hAnsi="Calibri"/>
      <w:i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hyperlink" Target="https://dotnet.microsoft.com/en-us/platform/support/policy/dotnet-core" TargetMode="External"/><Relationship Id="rId22" Type="http://schemas.openxmlformats.org/officeDocument/2006/relationships/hyperlink" Target="https://learn.microsoft.com/en-us/ef/core/what-is-new/ef-core-10.0/whatsnew" TargetMode="External"/><Relationship Id="rId23" Type="http://schemas.openxmlformats.org/officeDocument/2006/relationships/hyperlink" Target="https://learn.microsoft.com/en-us/aspnet/core/host-and-deploy/health-checks?view=aspnetcore-10.0" TargetMode="External"/><Relationship Id="rId24" Type="http://schemas.openxmlformats.org/officeDocument/2006/relationships/hyperlink" Target="https://react.dev/versions" TargetMode="External"/><Relationship Id="rId25" Type="http://schemas.openxmlformats.org/officeDocument/2006/relationships/hyperlink" Target="https://www.postgresql.org/docs/current/index.html" TargetMode="External"/><Relationship Id="rId26" Type="http://schemas.openxmlformats.org/officeDocument/2006/relationships/hyperlink" Target="https://www.postgresql.org/docs/current/pgtrgm.html" TargetMode="External"/><Relationship Id="rId27" Type="http://schemas.openxmlformats.org/officeDocument/2006/relationships/hyperlink" Target="https://www.npgsql.org/" TargetMode="External"/><Relationship Id="rId28" Type="http://schemas.openxmlformats.org/officeDocument/2006/relationships/hyperlink" Target="https://developers.google.com/youtube/iframe_api_reference" TargetMode="External"/><Relationship Id="rId29" Type="http://schemas.openxmlformats.org/officeDocument/2006/relationships/hyperlink" Target="https://developers.google.com/youtube/player_parameters" TargetMode="External"/><Relationship Id="rId30" Type="http://schemas.openxmlformats.org/officeDocument/2006/relationships/hyperlink" Target="https://owasp.org/www-project-application-security-verification-standard/" TargetMode="External"/><Relationship Id="rId31" Type="http://schemas.openxmlformats.org/officeDocument/2006/relationships/hyperlink" Target="https://pages.nist.gov/800-63-4/sp800-63b.html" TargetMode="External"/><Relationship Id="rId32" Type="http://schemas.openxmlformats.org/officeDocument/2006/relationships/hyperlink" Target="https://www.w3.org/TR/WCAG22/" TargetMode="External"/><Relationship Id="rId33" Type="http://schemas.openxmlformats.org/officeDocument/2006/relationships/hyperlink" Target="https://opentelemetry.io/docs/languages/dotnet/" TargetMode="External"/><Relationship Id="rId34" Type="http://schemas.openxmlformats.org/officeDocument/2006/relationships/hyperlink" Target="https://docs.docker.com/compose/" TargetMode="External"/><Relationship Id="rId35" Type="http://schemas.openxmlformats.org/officeDocument/2006/relationships/hyperlink" Target="https://c4model.com/dia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del sistema del MVP</dc:title>
  <dc:subject>Arquitectura de la plataforma de aprendizaje de japonés mediante canciones</dc:subject>
  <dc:creator>Proyecto M01-M19</dc:creator>
  <cp:keywords>arquitectura, MVP, ASP.NET Core, React, PostgreSQL, YouTube, C4, trazabilidad</cp:keywords>
  <dc:description>Arquitectura derivada de la línea base funcional y no funcional del MVP.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