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pStyle w:val="CoverKicker"/>
      </w:pPr>
      <w:r>
        <w:rPr>
          <w:rFonts w:ascii="Calibri" w:hAnsi="Calibri" w:eastAsia="Calibri"/>
          <w:b/>
          <w:i w:val="0"/>
          <w:color w:val="2E74B5"/>
          <w:sz w:val="20"/>
        </w:rPr>
        <w:t>ESPECIFICACIÓN NO FUNCIONAL DEL MVP</w:t>
      </w:r>
    </w:p>
    <w:p>
      <w:pPr>
        <w:pStyle w:val="CoverTitle"/>
      </w:pPr>
      <w:r>
        <w:rPr>
          <w:rFonts w:ascii="Calibri" w:hAnsi="Calibri" w:eastAsia="Calibri"/>
          <w:b/>
          <w:i w:val="0"/>
          <w:color w:val="0B2545"/>
          <w:sz w:val="54"/>
        </w:rPr>
        <w:t>Requerimientos no funcionales medibles</w:t>
      </w:r>
    </w:p>
    <w:p>
      <w:pPr>
        <w:pStyle w:val="CoverSubtitle"/>
      </w:pPr>
      <w:r>
        <w:rPr>
          <w:rFonts w:ascii="Calibri" w:hAnsi="Calibri" w:eastAsia="Calibri"/>
          <w:b w:val="0"/>
          <w:i w:val="0"/>
          <w:color w:val="1F4D78"/>
          <w:sz w:val="28"/>
        </w:rPr>
        <w:t>Plataforma de aprendizaje de japonés mediante canciones</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8"/>
              </w:rPr>
              <w:t>Control</w:t>
            </w:r>
          </w:p>
        </w:tc>
        <w:tc>
          <w:tcPr>
            <w:tcW w:type="dxa" w:w="74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8"/>
              </w:rPr>
              <w:t>Valor</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8"/>
              </w:rPr>
              <w:t>Versión</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8"/>
              </w:rPr>
              <w:t>1.0 - Línea base propuesta</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8"/>
              </w:rPr>
              <w:t>Fecha</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8"/>
              </w:rPr>
              <w:t>22 de julio de 2026</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8"/>
              </w:rPr>
              <w:t>Fuente</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8"/>
              </w:rPr>
              <w:t>Documento Maestro M01-M19 y alcance priorizado del MVP</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8"/>
              </w:rPr>
              <w:t>Cobertura</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8"/>
              </w:rPr>
              <w:t>150 RNF medibles; CE-01 a CE-14; F01 a F10</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8"/>
              </w:rPr>
              <w:t>Estado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8"/>
              </w:rPr>
              <w:t>Listo para arquitectura, casos de uso y plan de pruebas</w:t>
            </w:r>
          </w:p>
        </w:tc>
      </w:tr>
    </w:tbl>
    <w:p>
      <w:pPr>
        <w:pStyle w:val="SmallNote"/>
        <w:spacing w:after="40"/>
      </w:pPr>
    </w:p>
    <w:p>
      <w:pPr>
        <w:pStyle w:val="CalloutText"/>
        <w:keepLines/>
        <w:spacing w:before="80" w:after="160"/>
        <w:ind w:left="160" w:right="160"/>
        <w:shd w:fill="E8F3E8"/>
        <w:pBdr>
          <w:top w:val="single" w:sz="8" w:space="5" w:color="2E7D32"/>
          <w:left w:val="single" w:sz="8" w:space="5" w:color="2E7D32"/>
          <w:bottom w:val="single" w:sz="8" w:space="5" w:color="2E7D32"/>
          <w:right w:val="single" w:sz="8" w:space="5" w:color="2E7D32"/>
        </w:pBdr>
      </w:pPr>
      <w:r>
        <w:rPr>
          <w:rFonts w:ascii="Calibri" w:hAnsi="Calibri" w:eastAsia="Calibri"/>
          <w:b/>
          <w:i w:val="0"/>
          <w:color w:val="2E7D32"/>
          <w:sz w:val="20"/>
        </w:rPr>
        <w:t xml:space="preserve">Decisión vinculante. </w:t>
      </w:r>
      <w:r>
        <w:rPr>
          <w:rFonts w:ascii="Calibri" w:hAnsi="Calibri" w:eastAsia="Calibri"/>
          <w:b w:val="0"/>
          <w:i w:val="0"/>
          <w:color w:val="000000"/>
          <w:sz w:val="19"/>
        </w:rPr>
        <w:t>El documento define objetivos verificables e independientes del stack. Español es el idioma visible inicial; el contenido y las listas son internos; la única dependencia externa permitida es el reproductor incrustado de YouTube.</w:t>
      </w:r>
    </w:p>
    <w:p>
      <w:r>
        <w:br w:type="page"/>
      </w:r>
    </w:p>
    <w:p>
      <w:pPr>
        <w:spacing w:after="840"/>
      </w:pPr>
    </w:p>
    <w:p>
      <w:pPr>
        <w:pStyle w:val="Heading1"/>
      </w:pPr>
      <w:r>
        <w:t>Contenido</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000"/>
        <w:gridCol w:w="8360"/>
      </w:tblGrid>
      <w:tr>
        <w:trPr>
          <w:tblHeader w:val="true"/>
          <w:cantSplit/>
        </w:trPr>
        <w:tc>
          <w:tcPr>
            <w:tcW w:type="dxa" w:w="10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8"/>
              </w:rPr>
              <w:t>Sección</w:t>
            </w:r>
          </w:p>
        </w:tc>
        <w:tc>
          <w:tcPr>
            <w:tcW w:type="dxa" w:w="83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8"/>
              </w:rPr>
              <w:t>Contenido</w:t>
            </w:r>
          </w:p>
        </w:tc>
      </w:tr>
      <w:tr>
        <w:trPr>
          <w:cantSplit/>
        </w:trPr>
        <w:tc>
          <w:tcPr>
            <w:tcW w:type="dxa" w:w="1000"/>
            <w:tcMar>
              <w:top w:w="80" w:type="dxa"/>
              <w:start w:w="120" w:type="dxa"/>
              <w:bottom w:w="80" w:type="dxa"/>
              <w:end w:w="120" w:type="dxa"/>
            </w:tcMar>
            <w:vAlign w:val="center"/>
          </w:tcPr>
          <w:p>
            <w:pPr>
              <w:pStyle w:val="TableText"/>
            </w:pPr>
            <w:r/>
            <w:r>
              <w:rPr>
                <w:rFonts w:ascii="Calibri" w:hAnsi="Calibri" w:eastAsia="Calibri"/>
                <w:b w:val="0"/>
                <w:i w:val="0"/>
                <w:color w:val="000000"/>
                <w:sz w:val="18"/>
              </w:rPr>
              <w:t>1</w:t>
            </w:r>
          </w:p>
        </w:tc>
        <w:tc>
          <w:tcPr>
            <w:tcW w:type="dxa" w:w="8360"/>
            <w:tcMar>
              <w:top w:w="80" w:type="dxa"/>
              <w:start w:w="120" w:type="dxa"/>
              <w:bottom w:w="80" w:type="dxa"/>
              <w:end w:w="120" w:type="dxa"/>
            </w:tcMar>
            <w:vAlign w:val="center"/>
          </w:tcPr>
          <w:p>
            <w:pPr>
              <w:pStyle w:val="TableText"/>
            </w:pPr>
            <w:r/>
            <w:r>
              <w:rPr>
                <w:rFonts w:ascii="Calibri" w:hAnsi="Calibri" w:eastAsia="Calibri"/>
                <w:b w:val="0"/>
                <w:i w:val="0"/>
                <w:color w:val="000000"/>
                <w:sz w:val="18"/>
              </w:rPr>
              <w:t>Control, objetivo y alcance</w:t>
            </w:r>
          </w:p>
        </w:tc>
      </w:tr>
      <w:tr>
        <w:trPr>
          <w:cantSplit/>
        </w:trPr>
        <w:tc>
          <w:tcPr>
            <w:tcW w:type="dxa" w:w="1000"/>
            <w:tcMar>
              <w:top w:w="80" w:type="dxa"/>
              <w:start w:w="120" w:type="dxa"/>
              <w:bottom w:w="80" w:type="dxa"/>
              <w:end w:w="120" w:type="dxa"/>
            </w:tcMar>
            <w:vAlign w:val="center"/>
          </w:tcPr>
          <w:p>
            <w:pPr>
              <w:pStyle w:val="TableText"/>
            </w:pPr>
            <w:r/>
            <w:r>
              <w:rPr>
                <w:rFonts w:ascii="Calibri" w:hAnsi="Calibri" w:eastAsia="Calibri"/>
                <w:b w:val="0"/>
                <w:i w:val="0"/>
                <w:color w:val="000000"/>
                <w:sz w:val="18"/>
              </w:rPr>
              <w:t>2</w:t>
            </w:r>
          </w:p>
        </w:tc>
        <w:tc>
          <w:tcPr>
            <w:tcW w:type="dxa" w:w="8360"/>
            <w:tcMar>
              <w:top w:w="80" w:type="dxa"/>
              <w:start w:w="120" w:type="dxa"/>
              <w:bottom w:w="80" w:type="dxa"/>
              <w:end w:w="120" w:type="dxa"/>
            </w:tcMar>
            <w:vAlign w:val="center"/>
          </w:tcPr>
          <w:p>
            <w:pPr>
              <w:pStyle w:val="TableText"/>
            </w:pPr>
            <w:r/>
            <w:r>
              <w:rPr>
                <w:rFonts w:ascii="Calibri" w:hAnsi="Calibri" w:eastAsia="Calibri"/>
                <w:b w:val="0"/>
                <w:i w:val="0"/>
                <w:color w:val="000000"/>
                <w:sz w:val="18"/>
              </w:rPr>
              <w:t>Convenciones de medición</w:t>
            </w:r>
          </w:p>
        </w:tc>
      </w:tr>
      <w:tr>
        <w:trPr>
          <w:cantSplit/>
        </w:trPr>
        <w:tc>
          <w:tcPr>
            <w:tcW w:type="dxa" w:w="1000"/>
            <w:tcMar>
              <w:top w:w="80" w:type="dxa"/>
              <w:start w:w="120" w:type="dxa"/>
              <w:bottom w:w="80" w:type="dxa"/>
              <w:end w:w="120" w:type="dxa"/>
            </w:tcMar>
            <w:vAlign w:val="center"/>
          </w:tcPr>
          <w:p>
            <w:pPr>
              <w:pStyle w:val="TableText"/>
            </w:pPr>
            <w:r/>
            <w:r>
              <w:rPr>
                <w:rFonts w:ascii="Calibri" w:hAnsi="Calibri" w:eastAsia="Calibri"/>
                <w:b w:val="0"/>
                <w:i w:val="0"/>
                <w:color w:val="000000"/>
                <w:sz w:val="18"/>
              </w:rPr>
              <w:t>3</w:t>
            </w:r>
          </w:p>
        </w:tc>
        <w:tc>
          <w:tcPr>
            <w:tcW w:type="dxa" w:w="8360"/>
            <w:tcMar>
              <w:top w:w="80" w:type="dxa"/>
              <w:start w:w="120" w:type="dxa"/>
              <w:bottom w:w="80" w:type="dxa"/>
              <w:end w:w="120" w:type="dxa"/>
            </w:tcMar>
            <w:vAlign w:val="center"/>
          </w:tcPr>
          <w:p>
            <w:pPr>
              <w:pStyle w:val="TableText"/>
            </w:pPr>
            <w:r/>
            <w:r>
              <w:rPr>
                <w:rFonts w:ascii="Calibri" w:hAnsi="Calibri" w:eastAsia="Calibri"/>
                <w:b w:val="0"/>
                <w:i w:val="0"/>
                <w:color w:val="000000"/>
                <w:sz w:val="18"/>
              </w:rPr>
              <w:t>Línea base y puertas de liberación</w:t>
            </w:r>
          </w:p>
        </w:tc>
      </w:tr>
      <w:tr>
        <w:trPr>
          <w:cantSplit/>
        </w:trPr>
        <w:tc>
          <w:tcPr>
            <w:tcW w:type="dxa" w:w="1000"/>
            <w:tcMar>
              <w:top w:w="80" w:type="dxa"/>
              <w:start w:w="120" w:type="dxa"/>
              <w:bottom w:w="80" w:type="dxa"/>
              <w:end w:w="120" w:type="dxa"/>
            </w:tcMar>
            <w:vAlign w:val="center"/>
          </w:tcPr>
          <w:p>
            <w:pPr>
              <w:pStyle w:val="TableText"/>
            </w:pPr>
            <w:r/>
            <w:r>
              <w:rPr>
                <w:rFonts w:ascii="Calibri" w:hAnsi="Calibri" w:eastAsia="Calibri"/>
                <w:b w:val="0"/>
                <w:i w:val="0"/>
                <w:color w:val="000000"/>
                <w:sz w:val="18"/>
              </w:rPr>
              <w:t>4-15</w:t>
            </w:r>
          </w:p>
        </w:tc>
        <w:tc>
          <w:tcPr>
            <w:tcW w:type="dxa" w:w="8360"/>
            <w:tcMar>
              <w:top w:w="80" w:type="dxa"/>
              <w:start w:w="120" w:type="dxa"/>
              <w:bottom w:w="80" w:type="dxa"/>
              <w:end w:w="120" w:type="dxa"/>
            </w:tcMar>
            <w:vAlign w:val="center"/>
          </w:tcPr>
          <w:p>
            <w:pPr>
              <w:pStyle w:val="TableText"/>
            </w:pPr>
            <w:r/>
            <w:r>
              <w:rPr>
                <w:rFonts w:ascii="Calibri" w:hAnsi="Calibri" w:eastAsia="Calibri"/>
                <w:b w:val="0"/>
                <w:i w:val="0"/>
                <w:color w:val="000000"/>
                <w:sz w:val="18"/>
              </w:rPr>
              <w:t>Catálogo RNF por dominio</w:t>
            </w:r>
          </w:p>
        </w:tc>
      </w:tr>
      <w:tr>
        <w:trPr>
          <w:cantSplit/>
        </w:trPr>
        <w:tc>
          <w:tcPr>
            <w:tcW w:type="dxa" w:w="1000"/>
            <w:tcMar>
              <w:top w:w="80" w:type="dxa"/>
              <w:start w:w="120" w:type="dxa"/>
              <w:bottom w:w="80" w:type="dxa"/>
              <w:end w:w="120" w:type="dxa"/>
            </w:tcMar>
            <w:vAlign w:val="center"/>
          </w:tcPr>
          <w:p>
            <w:pPr>
              <w:pStyle w:val="TableText"/>
            </w:pPr>
            <w:r/>
            <w:r>
              <w:rPr>
                <w:rFonts w:ascii="Calibri" w:hAnsi="Calibri" w:eastAsia="Calibri"/>
                <w:b w:val="0"/>
                <w:i w:val="0"/>
                <w:color w:val="000000"/>
                <w:sz w:val="18"/>
              </w:rPr>
              <w:t>16</w:t>
            </w:r>
          </w:p>
        </w:tc>
        <w:tc>
          <w:tcPr>
            <w:tcW w:type="dxa" w:w="8360"/>
            <w:tcMar>
              <w:top w:w="80" w:type="dxa"/>
              <w:start w:w="120" w:type="dxa"/>
              <w:bottom w:w="80" w:type="dxa"/>
              <w:end w:w="120" w:type="dxa"/>
            </w:tcMar>
            <w:vAlign w:val="center"/>
          </w:tcPr>
          <w:p>
            <w:pPr>
              <w:pStyle w:val="TableText"/>
            </w:pPr>
            <w:r/>
            <w:r>
              <w:rPr>
                <w:rFonts w:ascii="Calibri" w:hAnsi="Calibri" w:eastAsia="Calibri"/>
                <w:b w:val="0"/>
                <w:i w:val="0"/>
                <w:color w:val="000000"/>
                <w:sz w:val="18"/>
              </w:rPr>
              <w:t>Trazabilidad a criterios, flujos y módulos</w:t>
            </w:r>
          </w:p>
        </w:tc>
      </w:tr>
      <w:tr>
        <w:trPr>
          <w:cantSplit/>
        </w:trPr>
        <w:tc>
          <w:tcPr>
            <w:tcW w:type="dxa" w:w="1000"/>
            <w:tcMar>
              <w:top w:w="80" w:type="dxa"/>
              <w:start w:w="120" w:type="dxa"/>
              <w:bottom w:w="80" w:type="dxa"/>
              <w:end w:w="120" w:type="dxa"/>
            </w:tcMar>
            <w:vAlign w:val="center"/>
          </w:tcPr>
          <w:p>
            <w:pPr>
              <w:pStyle w:val="TableText"/>
            </w:pPr>
            <w:r/>
            <w:r>
              <w:rPr>
                <w:rFonts w:ascii="Calibri" w:hAnsi="Calibri" w:eastAsia="Calibri"/>
                <w:b w:val="0"/>
                <w:i w:val="0"/>
                <w:color w:val="000000"/>
                <w:sz w:val="18"/>
              </w:rPr>
              <w:t>17</w:t>
            </w:r>
          </w:p>
        </w:tc>
        <w:tc>
          <w:tcPr>
            <w:tcW w:type="dxa" w:w="8360"/>
            <w:tcMar>
              <w:top w:w="80" w:type="dxa"/>
              <w:start w:w="120" w:type="dxa"/>
              <w:bottom w:w="80" w:type="dxa"/>
              <w:end w:w="120" w:type="dxa"/>
            </w:tcMar>
            <w:vAlign w:val="center"/>
          </w:tcPr>
          <w:p>
            <w:pPr>
              <w:pStyle w:val="TableText"/>
            </w:pPr>
            <w:r/>
            <w:r>
              <w:rPr>
                <w:rFonts w:ascii="Calibri" w:hAnsi="Calibri" w:eastAsia="Calibri"/>
                <w:b w:val="0"/>
                <w:i w:val="0"/>
                <w:color w:val="000000"/>
                <w:sz w:val="18"/>
              </w:rPr>
              <w:t>Plan de verificación y expediente de liberación</w:t>
            </w:r>
          </w:p>
        </w:tc>
      </w:tr>
      <w:tr>
        <w:trPr>
          <w:cantSplit/>
        </w:trPr>
        <w:tc>
          <w:tcPr>
            <w:tcW w:type="dxa" w:w="1000"/>
            <w:tcMar>
              <w:top w:w="80" w:type="dxa"/>
              <w:start w:w="120" w:type="dxa"/>
              <w:bottom w:w="80" w:type="dxa"/>
              <w:end w:w="120" w:type="dxa"/>
            </w:tcMar>
            <w:vAlign w:val="center"/>
          </w:tcPr>
          <w:p>
            <w:pPr>
              <w:pStyle w:val="TableText"/>
            </w:pPr>
            <w:r/>
            <w:r>
              <w:rPr>
                <w:rFonts w:ascii="Calibri" w:hAnsi="Calibri" w:eastAsia="Calibri"/>
                <w:b w:val="0"/>
                <w:i w:val="0"/>
                <w:color w:val="000000"/>
                <w:sz w:val="18"/>
              </w:rPr>
              <w:t>18</w:t>
            </w:r>
          </w:p>
        </w:tc>
        <w:tc>
          <w:tcPr>
            <w:tcW w:type="dxa" w:w="8360"/>
            <w:tcMar>
              <w:top w:w="80" w:type="dxa"/>
              <w:start w:w="120" w:type="dxa"/>
              <w:bottom w:w="80" w:type="dxa"/>
              <w:end w:w="120" w:type="dxa"/>
            </w:tcMar>
            <w:vAlign w:val="center"/>
          </w:tcPr>
          <w:p>
            <w:pPr>
              <w:pStyle w:val="TableText"/>
            </w:pPr>
            <w:r/>
            <w:r>
              <w:rPr>
                <w:rFonts w:ascii="Calibri" w:hAnsi="Calibri" w:eastAsia="Calibri"/>
                <w:b w:val="0"/>
                <w:i w:val="0"/>
                <w:color w:val="000000"/>
                <w:sz w:val="18"/>
              </w:rPr>
              <w:t>Supuestos, exclusiones y control de cambios</w:t>
            </w:r>
          </w:p>
        </w:tc>
      </w:tr>
      <w:tr>
        <w:trPr>
          <w:cantSplit/>
        </w:trPr>
        <w:tc>
          <w:tcPr>
            <w:tcW w:type="dxa" w:w="1000"/>
            <w:tcMar>
              <w:top w:w="80" w:type="dxa"/>
              <w:start w:w="120" w:type="dxa"/>
              <w:bottom w:w="80" w:type="dxa"/>
              <w:end w:w="120" w:type="dxa"/>
            </w:tcMar>
            <w:vAlign w:val="center"/>
          </w:tcPr>
          <w:p>
            <w:pPr>
              <w:pStyle w:val="TableText"/>
            </w:pPr>
            <w:r/>
            <w:r>
              <w:rPr>
                <w:rFonts w:ascii="Calibri" w:hAnsi="Calibri" w:eastAsia="Calibri"/>
                <w:b w:val="0"/>
                <w:i w:val="0"/>
                <w:color w:val="000000"/>
                <w:sz w:val="18"/>
              </w:rPr>
              <w:t>19</w:t>
            </w:r>
          </w:p>
        </w:tc>
        <w:tc>
          <w:tcPr>
            <w:tcW w:type="dxa" w:w="8360"/>
            <w:tcMar>
              <w:top w:w="80" w:type="dxa"/>
              <w:start w:w="120" w:type="dxa"/>
              <w:bottom w:w="80" w:type="dxa"/>
              <w:end w:w="120" w:type="dxa"/>
            </w:tcMar>
            <w:vAlign w:val="center"/>
          </w:tcPr>
          <w:p>
            <w:pPr>
              <w:pStyle w:val="TableText"/>
            </w:pPr>
            <w:r/>
            <w:r>
              <w:rPr>
                <w:rFonts w:ascii="Calibri" w:hAnsi="Calibri" w:eastAsia="Calibri"/>
                <w:b w:val="0"/>
                <w:i w:val="0"/>
                <w:color w:val="000000"/>
                <w:sz w:val="18"/>
              </w:rPr>
              <w:t>Referencias normativas</w:t>
            </w:r>
          </w:p>
        </w:tc>
      </w:tr>
      <w:tr>
        <w:trPr>
          <w:cantSplit/>
        </w:trPr>
        <w:tc>
          <w:tcPr>
            <w:tcW w:type="dxa" w:w="1000"/>
            <w:tcMar>
              <w:top w:w="80" w:type="dxa"/>
              <w:start w:w="120" w:type="dxa"/>
              <w:bottom w:w="80" w:type="dxa"/>
              <w:end w:w="120" w:type="dxa"/>
            </w:tcMar>
            <w:vAlign w:val="center"/>
          </w:tcPr>
          <w:p>
            <w:pPr>
              <w:pStyle w:val="TableText"/>
            </w:pPr>
            <w:r/>
            <w:r>
              <w:rPr>
                <w:rFonts w:ascii="Calibri" w:hAnsi="Calibri" w:eastAsia="Calibri"/>
                <w:b w:val="0"/>
                <w:i w:val="0"/>
                <w:color w:val="000000"/>
                <w:sz w:val="18"/>
              </w:rPr>
              <w:t>A</w:t>
            </w:r>
          </w:p>
        </w:tc>
        <w:tc>
          <w:tcPr>
            <w:tcW w:type="dxa" w:w="8360"/>
            <w:tcMar>
              <w:top w:w="80" w:type="dxa"/>
              <w:start w:w="120" w:type="dxa"/>
              <w:bottom w:w="80" w:type="dxa"/>
              <w:end w:w="120" w:type="dxa"/>
            </w:tcMar>
            <w:vAlign w:val="center"/>
          </w:tcPr>
          <w:p>
            <w:pPr>
              <w:pStyle w:val="TableText"/>
            </w:pPr>
            <w:r/>
            <w:r>
              <w:rPr>
                <w:rFonts w:ascii="Calibri" w:hAnsi="Calibri" w:eastAsia="Calibri"/>
                <w:b w:val="0"/>
                <w:i w:val="0"/>
                <w:color w:val="000000"/>
                <w:sz w:val="18"/>
              </w:rPr>
              <w:t>Resumen de umbrales globales</w:t>
            </w:r>
          </w:p>
        </w:tc>
      </w:tr>
    </w:tbl>
    <w:p>
      <w:pPr>
        <w:pStyle w:val="SmallNote"/>
        <w:spacing w:after="40"/>
      </w:pPr>
    </w:p>
    <w:p>
      <w:r>
        <w:br w:type="page"/>
      </w:r>
    </w:p>
    <w:p>
      <w:pPr>
        <w:pStyle w:val="Heading1"/>
      </w:pPr>
      <w:r>
        <w:t>1. Control, objetivo y alcance</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2100"/>
        <w:gridCol w:w="7260"/>
      </w:tblGrid>
      <w:tr>
        <w:trPr>
          <w:tblHeader w:val="true"/>
          <w:cantSplit/>
        </w:trPr>
        <w:tc>
          <w:tcPr>
            <w:tcW w:type="dxa" w:w="21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8"/>
              </w:rPr>
              <w:t>Campo</w:t>
            </w:r>
          </w:p>
        </w:tc>
        <w:tc>
          <w:tcPr>
            <w:tcW w:type="dxa" w:w="72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8"/>
              </w:rPr>
              <w:t>Definición</w:t>
            </w:r>
          </w:p>
        </w:tc>
      </w:tr>
      <w:tr>
        <w:trPr>
          <w:cantSplit/>
        </w:trPr>
        <w:tc>
          <w:tcPr>
            <w:tcW w:type="dxa" w:w="2100"/>
            <w:tcMar>
              <w:top w:w="80" w:type="dxa"/>
              <w:start w:w="120" w:type="dxa"/>
              <w:bottom w:w="80" w:type="dxa"/>
              <w:end w:w="120" w:type="dxa"/>
            </w:tcMar>
            <w:vAlign w:val="center"/>
          </w:tcPr>
          <w:p>
            <w:pPr>
              <w:pStyle w:val="TableText"/>
            </w:pPr>
            <w:r/>
            <w:r>
              <w:rPr>
                <w:rFonts w:ascii="Calibri" w:hAnsi="Calibri" w:eastAsia="Calibri"/>
                <w:b w:val="0"/>
                <w:i w:val="0"/>
                <w:color w:val="000000"/>
                <w:sz w:val="18"/>
              </w:rPr>
              <w:t>Documento fuente</w:t>
            </w:r>
          </w:p>
        </w:tc>
        <w:tc>
          <w:tcPr>
            <w:tcW w:type="dxa" w:w="7260"/>
            <w:tcMar>
              <w:top w:w="80" w:type="dxa"/>
              <w:start w:w="120" w:type="dxa"/>
              <w:bottom w:w="80" w:type="dxa"/>
              <w:end w:w="120" w:type="dxa"/>
            </w:tcMar>
            <w:vAlign w:val="center"/>
          </w:tcPr>
          <w:p>
            <w:pPr>
              <w:pStyle w:val="TableText"/>
            </w:pPr>
            <w:r/>
            <w:r>
              <w:rPr>
                <w:rFonts w:ascii="Calibri" w:hAnsi="Calibri" w:eastAsia="Calibri"/>
                <w:b w:val="0"/>
                <w:i w:val="0"/>
                <w:color w:val="000000"/>
                <w:sz w:val="18"/>
              </w:rPr>
              <w:t>Documento Maestro de Requerimientos M01-M19</w:t>
            </w:r>
          </w:p>
        </w:tc>
      </w:tr>
      <w:tr>
        <w:trPr>
          <w:cantSplit/>
        </w:trPr>
        <w:tc>
          <w:tcPr>
            <w:tcW w:type="dxa" w:w="2100"/>
            <w:tcMar>
              <w:top w:w="80" w:type="dxa"/>
              <w:start w:w="120" w:type="dxa"/>
              <w:bottom w:w="80" w:type="dxa"/>
              <w:end w:w="120" w:type="dxa"/>
            </w:tcMar>
            <w:vAlign w:val="center"/>
          </w:tcPr>
          <w:p>
            <w:pPr>
              <w:pStyle w:val="TableText"/>
            </w:pPr>
            <w:r/>
            <w:r>
              <w:rPr>
                <w:rFonts w:ascii="Calibri" w:hAnsi="Calibri" w:eastAsia="Calibri"/>
                <w:b w:val="0"/>
                <w:i w:val="0"/>
                <w:color w:val="000000"/>
                <w:sz w:val="18"/>
              </w:rPr>
              <w:t>Línea base funcional</w:t>
            </w:r>
          </w:p>
        </w:tc>
        <w:tc>
          <w:tcPr>
            <w:tcW w:type="dxa" w:w="7260"/>
            <w:tcMar>
              <w:top w:w="80" w:type="dxa"/>
              <w:start w:w="120" w:type="dxa"/>
              <w:bottom w:w="80" w:type="dxa"/>
              <w:end w:w="120" w:type="dxa"/>
            </w:tcMar>
            <w:vAlign w:val="center"/>
          </w:tcPr>
          <w:p>
            <w:pPr>
              <w:pStyle w:val="TableText"/>
            </w:pPr>
            <w:r/>
            <w:r>
              <w:rPr>
                <w:rFonts w:ascii="Calibri" w:hAnsi="Calibri" w:eastAsia="Calibri"/>
                <w:b w:val="0"/>
                <w:i w:val="0"/>
                <w:color w:val="000000"/>
                <w:sz w:val="18"/>
              </w:rPr>
              <w:t>3.843 RF y 1.002 reglas de negocio únicas</w:t>
            </w:r>
          </w:p>
        </w:tc>
      </w:tr>
      <w:tr>
        <w:trPr>
          <w:cantSplit/>
        </w:trPr>
        <w:tc>
          <w:tcPr>
            <w:tcW w:type="dxa" w:w="2100"/>
            <w:tcMar>
              <w:top w:w="80" w:type="dxa"/>
              <w:start w:w="120" w:type="dxa"/>
              <w:bottom w:w="80" w:type="dxa"/>
              <w:end w:w="120" w:type="dxa"/>
            </w:tcMar>
            <w:vAlign w:val="center"/>
          </w:tcPr>
          <w:p>
            <w:pPr>
              <w:pStyle w:val="TableText"/>
            </w:pPr>
            <w:r/>
            <w:r>
              <w:rPr>
                <w:rFonts w:ascii="Calibri" w:hAnsi="Calibri" w:eastAsia="Calibri"/>
                <w:b w:val="0"/>
                <w:i w:val="0"/>
                <w:color w:val="000000"/>
                <w:sz w:val="18"/>
              </w:rPr>
              <w:t>Alcance</w:t>
            </w:r>
          </w:p>
        </w:tc>
        <w:tc>
          <w:tcPr>
            <w:tcW w:type="dxa" w:w="7260"/>
            <w:tcMar>
              <w:top w:w="80" w:type="dxa"/>
              <w:start w:w="120" w:type="dxa"/>
              <w:bottom w:w="80" w:type="dxa"/>
              <w:end w:w="120" w:type="dxa"/>
            </w:tcMar>
            <w:vAlign w:val="center"/>
          </w:tcPr>
          <w:p>
            <w:pPr>
              <w:pStyle w:val="TableText"/>
            </w:pPr>
            <w:r/>
            <w:r>
              <w:rPr>
                <w:rFonts w:ascii="Calibri" w:hAnsi="Calibri" w:eastAsia="Calibri"/>
                <w:b w:val="0"/>
                <w:i w:val="0"/>
                <w:color w:val="000000"/>
                <w:sz w:val="18"/>
              </w:rPr>
              <w:t>MVP 1.0: 1.309 RF P0, reglas P0 aplicables y recorridos CE-01 a CE-14</w:t>
            </w:r>
          </w:p>
        </w:tc>
      </w:tr>
      <w:tr>
        <w:trPr>
          <w:cantSplit/>
        </w:trPr>
        <w:tc>
          <w:tcPr>
            <w:tcW w:type="dxa" w:w="2100"/>
            <w:tcMar>
              <w:top w:w="80" w:type="dxa"/>
              <w:start w:w="120" w:type="dxa"/>
              <w:bottom w:w="80" w:type="dxa"/>
              <w:end w:w="120" w:type="dxa"/>
            </w:tcMar>
            <w:vAlign w:val="center"/>
          </w:tcPr>
          <w:p>
            <w:pPr>
              <w:pStyle w:val="TableText"/>
            </w:pPr>
            <w:r/>
            <w:r>
              <w:rPr>
                <w:rFonts w:ascii="Calibri" w:hAnsi="Calibri" w:eastAsia="Calibri"/>
                <w:b w:val="0"/>
                <w:i w:val="0"/>
                <w:color w:val="000000"/>
                <w:sz w:val="18"/>
              </w:rPr>
              <w:t>Naturaleza</w:t>
            </w:r>
          </w:p>
        </w:tc>
        <w:tc>
          <w:tcPr>
            <w:tcW w:type="dxa" w:w="7260"/>
            <w:tcMar>
              <w:top w:w="80" w:type="dxa"/>
              <w:start w:w="120" w:type="dxa"/>
              <w:bottom w:w="80" w:type="dxa"/>
              <w:end w:w="120" w:type="dxa"/>
            </w:tcMar>
            <w:vAlign w:val="center"/>
          </w:tcPr>
          <w:p>
            <w:pPr>
              <w:pStyle w:val="TableText"/>
            </w:pPr>
            <w:r/>
            <w:r>
              <w:rPr>
                <w:rFonts w:ascii="Calibri" w:hAnsi="Calibri" w:eastAsia="Calibri"/>
                <w:b w:val="0"/>
                <w:i w:val="0"/>
                <w:color w:val="000000"/>
                <w:sz w:val="18"/>
              </w:rPr>
              <w:t>Especificación medible, independiente de tecnología y obligatoria para la liberación</w:t>
            </w:r>
          </w:p>
        </w:tc>
      </w:tr>
      <w:tr>
        <w:trPr>
          <w:cantSplit/>
        </w:trPr>
        <w:tc>
          <w:tcPr>
            <w:tcW w:type="dxa" w:w="2100"/>
            <w:tcMar>
              <w:top w:w="80" w:type="dxa"/>
              <w:start w:w="120" w:type="dxa"/>
              <w:bottom w:w="80" w:type="dxa"/>
              <w:end w:w="120" w:type="dxa"/>
            </w:tcMar>
            <w:vAlign w:val="center"/>
          </w:tcPr>
          <w:p>
            <w:pPr>
              <w:pStyle w:val="TableText"/>
            </w:pPr>
            <w:r/>
            <w:r>
              <w:rPr>
                <w:rFonts w:ascii="Calibri" w:hAnsi="Calibri" w:eastAsia="Calibri"/>
                <w:b w:val="0"/>
                <w:i w:val="0"/>
                <w:color w:val="000000"/>
                <w:sz w:val="18"/>
              </w:rPr>
              <w:t>Idiomas</w:t>
            </w:r>
          </w:p>
        </w:tc>
        <w:tc>
          <w:tcPr>
            <w:tcW w:type="dxa" w:w="7260"/>
            <w:tcMar>
              <w:top w:w="80" w:type="dxa"/>
              <w:start w:w="120" w:type="dxa"/>
              <w:bottom w:w="80" w:type="dxa"/>
              <w:end w:w="120" w:type="dxa"/>
            </w:tcMar>
            <w:vAlign w:val="center"/>
          </w:tcPr>
          <w:p>
            <w:pPr>
              <w:pStyle w:val="TableText"/>
            </w:pPr>
            <w:r/>
            <w:r>
              <w:rPr>
                <w:rFonts w:ascii="Calibri" w:hAnsi="Calibri" w:eastAsia="Calibri"/>
                <w:b w:val="0"/>
                <w:i w:val="0"/>
                <w:color w:val="000000"/>
                <w:sz w:val="18"/>
              </w:rPr>
              <w:t>Español visible; datos preparados para multilingüismo; japonés con Unicode y semántica propia</w:t>
            </w:r>
          </w:p>
        </w:tc>
      </w:tr>
      <w:tr>
        <w:trPr>
          <w:cantSplit/>
        </w:trPr>
        <w:tc>
          <w:tcPr>
            <w:tcW w:type="dxa" w:w="2100"/>
            <w:tcMar>
              <w:top w:w="80" w:type="dxa"/>
              <w:start w:w="120" w:type="dxa"/>
              <w:bottom w:w="80" w:type="dxa"/>
              <w:end w:w="120" w:type="dxa"/>
            </w:tcMar>
            <w:vAlign w:val="center"/>
          </w:tcPr>
          <w:p>
            <w:pPr>
              <w:pStyle w:val="TableText"/>
            </w:pPr>
            <w:r/>
            <w:r>
              <w:rPr>
                <w:rFonts w:ascii="Calibri" w:hAnsi="Calibri" w:eastAsia="Calibri"/>
                <w:b w:val="0"/>
                <w:i w:val="0"/>
                <w:color w:val="000000"/>
                <w:sz w:val="18"/>
              </w:rPr>
              <w:t>Dependencia externa</w:t>
            </w:r>
          </w:p>
        </w:tc>
        <w:tc>
          <w:tcPr>
            <w:tcW w:type="dxa" w:w="7260"/>
            <w:tcMar>
              <w:top w:w="80" w:type="dxa"/>
              <w:start w:w="120" w:type="dxa"/>
              <w:bottom w:w="80" w:type="dxa"/>
              <w:end w:w="120" w:type="dxa"/>
            </w:tcMar>
            <w:vAlign w:val="center"/>
          </w:tcPr>
          <w:p>
            <w:pPr>
              <w:pStyle w:val="TableText"/>
            </w:pPr>
            <w:r/>
            <w:r>
              <w:rPr>
                <w:rFonts w:ascii="Calibri" w:hAnsi="Calibri" w:eastAsia="Calibri"/>
                <w:b w:val="0"/>
                <w:i w:val="0"/>
                <w:color w:val="000000"/>
                <w:sz w:val="18"/>
              </w:rPr>
              <w:t>Solo reproductor incrustado de YouTube; ninguna API externa de traducción, diccionario, búsqueda o análisis</w:t>
            </w:r>
          </w:p>
        </w:tc>
      </w:tr>
    </w:tbl>
    <w:p>
      <w:pPr>
        <w:pStyle w:val="SmallNote"/>
        <w:spacing w:after="40"/>
      </w:pPr>
    </w:p>
    <w:p>
      <w:pPr>
        <w:pStyle w:val="Heading2"/>
      </w:pPr>
      <w:r>
        <w:t>1.1 Objetivo</w:t>
      </w:r>
    </w:p>
    <w:p>
      <w:r>
        <w:t>Convertir las cualidades esperadas del MVP en obligaciones comprobables. Cada requisito identifica el comportamiento esperado, un umbral cuantitativo o criterio binario y la evidencia necesaria para aprobarlo.</w:t>
      </w:r>
    </w:p>
    <w:p>
      <w:pPr>
        <w:pStyle w:val="Heading2"/>
      </w:pPr>
      <w:r>
        <w:t>1.2 Aplicación</w:t>
      </w:r>
    </w:p>
    <w:p>
      <w:r>
        <w:t>Los RNF se aplican a la aplicación web, servicios propios, persistencia, procesos editoriales y operación. La medición de YouTube se separa de los SLO internos, pero la respuesta del sistema ante su lentitud o indisponibilidad sí es obligatoria.</w:t>
      </w:r>
    </w:p>
    <w:p>
      <w:pPr>
        <w:pStyle w:val="CalloutText"/>
        <w:keepLines/>
        <w:spacing w:before="80" w:after="160"/>
        <w:ind w:left="160" w:right="160"/>
        <w:shd w:fill="FFF2CC"/>
        <w:pBdr>
          <w:top w:val="single" w:sz="8" w:space="5" w:color="7A5A00"/>
          <w:left w:val="single" w:sz="8" w:space="5" w:color="7A5A00"/>
          <w:bottom w:val="single" w:sz="8" w:space="5" w:color="7A5A00"/>
          <w:right w:val="single" w:sz="8" w:space="5" w:color="7A5A00"/>
        </w:pBdr>
      </w:pPr>
      <w:r>
        <w:rPr>
          <w:rFonts w:ascii="Calibri" w:hAnsi="Calibri" w:eastAsia="Calibri"/>
          <w:b/>
          <w:i w:val="0"/>
          <w:color w:val="7A5A00"/>
          <w:sz w:val="20"/>
        </w:rPr>
        <w:t xml:space="preserve">Todos los RNF son P0. </w:t>
      </w:r>
      <w:r>
        <w:rPr>
          <w:rFonts w:ascii="Calibri" w:hAnsi="Calibri" w:eastAsia="Calibri"/>
          <w:b w:val="0"/>
          <w:i w:val="0"/>
          <w:color w:val="000000"/>
          <w:sz w:val="19"/>
        </w:rPr>
        <w:t>Un RNF de esta línea base no representa una función adicional. Es una condición de calidad para que los RF P0 puedan considerarse terminados. Las obligaciones periódicas se verifican antes del lanzamiento mediante configuración o simulacro y después se mantienen en operación.</w:t>
      </w:r>
    </w:p>
    <w:p>
      <w:pPr>
        <w:pStyle w:val="Heading1"/>
      </w:pPr>
      <w:r>
        <w:t>2. Convenciones de medición</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700"/>
        <w:gridCol w:w="7660"/>
      </w:tblGrid>
      <w:tr>
        <w:trPr>
          <w:tblHeader w:val="true"/>
          <w:cantSplit/>
        </w:trPr>
        <w:tc>
          <w:tcPr>
            <w:tcW w:type="dxa" w:w="17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8"/>
              </w:rPr>
              <w:t>Término</w:t>
            </w:r>
          </w:p>
        </w:tc>
        <w:tc>
          <w:tcPr>
            <w:tcW w:type="dxa" w:w="76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8"/>
              </w:rPr>
              <w:t>Uso en este documento</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8"/>
              </w:rPr>
              <w:t>p75 / p95 / p99</w:t>
            </w:r>
          </w:p>
        </w:tc>
        <w:tc>
          <w:tcPr>
            <w:tcW w:type="dxa" w:w="7660"/>
            <w:tcMar>
              <w:top w:w="80" w:type="dxa"/>
              <w:start w:w="120" w:type="dxa"/>
              <w:bottom w:w="80" w:type="dxa"/>
              <w:end w:w="120" w:type="dxa"/>
            </w:tcMar>
            <w:vAlign w:val="center"/>
          </w:tcPr>
          <w:p>
            <w:pPr>
              <w:pStyle w:val="TableText"/>
            </w:pPr>
            <w:r/>
            <w:r>
              <w:rPr>
                <w:rFonts w:ascii="Calibri" w:hAnsi="Calibri" w:eastAsia="Calibri"/>
                <w:b w:val="0"/>
                <w:i w:val="0"/>
                <w:color w:val="000000"/>
                <w:sz w:val="18"/>
              </w:rPr>
              <w:t>Percentil bajo el cual cae el 75 %, 95 % o 99 % de las observaciones.</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8"/>
              </w:rPr>
              <w:t>SLO</w:t>
            </w:r>
          </w:p>
        </w:tc>
        <w:tc>
          <w:tcPr>
            <w:tcW w:type="dxa" w:w="7660"/>
            <w:tcMar>
              <w:top w:w="80" w:type="dxa"/>
              <w:start w:w="120" w:type="dxa"/>
              <w:bottom w:w="80" w:type="dxa"/>
              <w:end w:w="120" w:type="dxa"/>
            </w:tcMar>
            <w:vAlign w:val="center"/>
          </w:tcPr>
          <w:p>
            <w:pPr>
              <w:pStyle w:val="TableText"/>
            </w:pPr>
            <w:r/>
            <w:r>
              <w:rPr>
                <w:rFonts w:ascii="Calibri" w:hAnsi="Calibri" w:eastAsia="Calibri"/>
                <w:b w:val="0"/>
                <w:i w:val="0"/>
                <w:color w:val="000000"/>
                <w:sz w:val="18"/>
              </w:rPr>
              <w:t>Objetivo interno de nivel de servicio medido durante una ventana definida.</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8"/>
              </w:rPr>
              <w:t>RUM</w:t>
            </w:r>
          </w:p>
        </w:tc>
        <w:tc>
          <w:tcPr>
            <w:tcW w:type="dxa" w:w="7660"/>
            <w:tcMar>
              <w:top w:w="80" w:type="dxa"/>
              <w:start w:w="120" w:type="dxa"/>
              <w:bottom w:w="80" w:type="dxa"/>
              <w:end w:w="120" w:type="dxa"/>
            </w:tcMar>
            <w:vAlign w:val="center"/>
          </w:tcPr>
          <w:p>
            <w:pPr>
              <w:pStyle w:val="TableText"/>
            </w:pPr>
            <w:r/>
            <w:r>
              <w:rPr>
                <w:rFonts w:ascii="Calibri" w:hAnsi="Calibri" w:eastAsia="Calibri"/>
                <w:b w:val="0"/>
                <w:i w:val="0"/>
                <w:color w:val="000000"/>
                <w:sz w:val="18"/>
              </w:rPr>
              <w:t>Medición desde sesiones reales; sustituye progresivamente la evidencia de laboratorio.</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8"/>
              </w:rPr>
              <w:t>RPO</w:t>
            </w:r>
          </w:p>
        </w:tc>
        <w:tc>
          <w:tcPr>
            <w:tcW w:type="dxa" w:w="7660"/>
            <w:tcMar>
              <w:top w:w="80" w:type="dxa"/>
              <w:start w:w="120" w:type="dxa"/>
              <w:bottom w:w="80" w:type="dxa"/>
              <w:end w:w="120" w:type="dxa"/>
            </w:tcMar>
            <w:vAlign w:val="center"/>
          </w:tcPr>
          <w:p>
            <w:pPr>
              <w:pStyle w:val="TableText"/>
            </w:pPr>
            <w:r/>
            <w:r>
              <w:rPr>
                <w:rFonts w:ascii="Calibri" w:hAnsi="Calibri" w:eastAsia="Calibri"/>
                <w:b w:val="0"/>
                <w:i w:val="0"/>
                <w:color w:val="000000"/>
                <w:sz w:val="18"/>
              </w:rPr>
              <w:t>Máxima antigüedad de los datos que se acepta perder después de una interrupción.</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8"/>
              </w:rPr>
              <w:t>RTO</w:t>
            </w:r>
          </w:p>
        </w:tc>
        <w:tc>
          <w:tcPr>
            <w:tcW w:type="dxa" w:w="7660"/>
            <w:tcMar>
              <w:top w:w="80" w:type="dxa"/>
              <w:start w:w="120" w:type="dxa"/>
              <w:bottom w:w="80" w:type="dxa"/>
              <w:end w:w="120" w:type="dxa"/>
            </w:tcMar>
            <w:vAlign w:val="center"/>
          </w:tcPr>
          <w:p>
            <w:pPr>
              <w:pStyle w:val="TableText"/>
            </w:pPr>
            <w:r/>
            <w:r>
              <w:rPr>
                <w:rFonts w:ascii="Calibri" w:hAnsi="Calibri" w:eastAsia="Calibri"/>
                <w:b w:val="0"/>
                <w:i w:val="0"/>
                <w:color w:val="000000"/>
                <w:sz w:val="18"/>
              </w:rPr>
              <w:t>Tiempo máximo para recuperar el servicio crítico después de declarar el incidente.</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8"/>
              </w:rPr>
              <w:t>Pre</w:t>
            </w:r>
          </w:p>
        </w:tc>
        <w:tc>
          <w:tcPr>
            <w:tcW w:type="dxa" w:w="7660"/>
            <w:tcMar>
              <w:top w:w="80" w:type="dxa"/>
              <w:start w:w="120" w:type="dxa"/>
              <w:bottom w:w="80" w:type="dxa"/>
              <w:end w:w="120" w:type="dxa"/>
            </w:tcMar>
            <w:vAlign w:val="center"/>
          </w:tcPr>
          <w:p>
            <w:pPr>
              <w:pStyle w:val="TableText"/>
            </w:pPr>
            <w:r/>
            <w:r>
              <w:rPr>
                <w:rFonts w:ascii="Calibri" w:hAnsi="Calibri" w:eastAsia="Calibri"/>
                <w:b w:val="0"/>
                <w:i w:val="0"/>
                <w:color w:val="000000"/>
                <w:sz w:val="18"/>
              </w:rPr>
              <w:t>Evidencia necesaria antes de liberar el MVP.</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8"/>
              </w:rPr>
              <w:t>Op</w:t>
            </w:r>
          </w:p>
        </w:tc>
        <w:tc>
          <w:tcPr>
            <w:tcW w:type="dxa" w:w="7660"/>
            <w:tcMar>
              <w:top w:w="80" w:type="dxa"/>
              <w:start w:w="120" w:type="dxa"/>
              <w:bottom w:w="80" w:type="dxa"/>
              <w:end w:w="120" w:type="dxa"/>
            </w:tcMar>
            <w:vAlign w:val="center"/>
          </w:tcPr>
          <w:p>
            <w:pPr>
              <w:pStyle w:val="TableText"/>
            </w:pPr>
            <w:r/>
            <w:r>
              <w:rPr>
                <w:rFonts w:ascii="Calibri" w:hAnsi="Calibri" w:eastAsia="Calibri"/>
                <w:b w:val="0"/>
                <w:i w:val="0"/>
                <w:color w:val="000000"/>
                <w:sz w:val="18"/>
              </w:rPr>
              <w:t>Evidencia recurrente durante la operación del MVP.</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8"/>
              </w:rPr>
              <w:t>Flujo crítico</w:t>
            </w:r>
          </w:p>
        </w:tc>
        <w:tc>
          <w:tcPr>
            <w:tcW w:type="dxa" w:w="7660"/>
            <w:tcMar>
              <w:top w:w="80" w:type="dxa"/>
              <w:start w:w="120" w:type="dxa"/>
              <w:bottom w:w="80" w:type="dxa"/>
              <w:end w:w="120" w:type="dxa"/>
            </w:tcMar>
            <w:vAlign w:val="center"/>
          </w:tcPr>
          <w:p>
            <w:pPr>
              <w:pStyle w:val="TableText"/>
            </w:pPr>
            <w:r/>
            <w:r>
              <w:rPr>
                <w:rFonts w:ascii="Calibri" w:hAnsi="Calibri" w:eastAsia="Calibri"/>
                <w:b w:val="0"/>
                <w:i w:val="0"/>
                <w:color w:val="000000"/>
                <w:sz w:val="18"/>
              </w:rPr>
              <w:t>Cualquiera de F01-F10 o de las puertas CE-01 a CE-14.</w:t>
            </w:r>
          </w:p>
        </w:tc>
      </w:tr>
    </w:tbl>
    <w:p>
      <w:pPr>
        <w:pStyle w:val="SmallNote"/>
        <w:spacing w:after="40"/>
      </w:pPr>
    </w:p>
    <w:p>
      <w:pPr>
        <w:pStyle w:val="Heading2"/>
      </w:pPr>
      <w:r>
        <w:t>2.1 Perfiles de prueba</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8"/>
              </w:rPr>
              <w:t>Perfil</w:t>
            </w:r>
          </w:p>
        </w:tc>
        <w:tc>
          <w:tcPr>
            <w:tcW w:type="dxa" w:w="74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8"/>
              </w:rPr>
              <w:t>Condición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8"/>
              </w:rPr>
              <w:t>Servidor</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8"/>
              </w:rPr>
              <w:t>Ambiente equivalente a producción, datos nominales, cachés calentadas y sin tareas ajenas no declaradas.</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8"/>
              </w:rPr>
              <w:t>Móvil de laboratorio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8"/>
              </w:rPr>
              <w:t>Vista 360 x 800 CSS px, CPU limitada 4x, 1,6 Mbps de bajada y 150 ms RTT.</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8"/>
              </w:rPr>
              <w:t>Escritorio de laboratorio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8"/>
              </w:rPr>
              <w:t>Vista 1.366 x 768 CSS px, 10 Mbps de bajada y 80 ms RTT.</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8"/>
              </w:rPr>
              <w:t>Carga</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8"/>
              </w:rPr>
              <w:t>100 usuarios activos, 20 solicitudes/s por 30 min; ráfaga 60 solicitudes/s por 2 min.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8"/>
              </w:rPr>
              <w:t>Canción patrón</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8"/>
              </w:rPr>
              <w:t>Revisión publicada con sincronización conocida, 300 líneas, 3.000 tokens y ayudas completas.</w:t>
            </w:r>
          </w:p>
        </w:tc>
      </w:tr>
    </w:tbl>
    <w:p>
      <w:pPr>
        <w:pStyle w:val="SmallNote"/>
        <w:spacing w:after="40"/>
      </w:pPr>
    </w:p>
    <w:p>
      <w:pPr>
        <w:pStyle w:val="Heading1"/>
      </w:pPr>
      <w:r>
        <w:t>3. Línea base y puertas de liberación</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700"/>
        <w:gridCol w:w="4260"/>
        <w:gridCol w:w="3200"/>
        <w:gridCol w:w="1200"/>
      </w:tblGrid>
      <w:tr>
        <w:trPr>
          <w:tblHeader w:val="true"/>
          <w:cantSplit/>
        </w:trPr>
        <w:tc>
          <w:tcPr>
            <w:tcW w:type="dxa" w:w="7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Dom.</w:t>
            </w:r>
          </w:p>
        </w:tc>
        <w:tc>
          <w:tcPr>
            <w:tcW w:type="dxa" w:w="42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Área</w:t>
            </w:r>
          </w:p>
        </w:tc>
        <w:tc>
          <w:tcPr>
            <w:tcW w:type="dxa" w:w="32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Rango</w:t>
            </w:r>
          </w:p>
        </w:tc>
        <w:tc>
          <w:tcPr>
            <w:tcW w:type="dxa" w:w="12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Cant.</w:t>
            </w:r>
          </w:p>
        </w:tc>
      </w:tr>
      <w:tr>
        <w:trPr>
          <w:cantSplit/>
        </w:trPr>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7"/>
              </w:rPr>
              <w:t>MED</w:t>
            </w:r>
          </w:p>
        </w:tc>
        <w:tc>
          <w:tcPr>
            <w:tcW w:type="dxa" w:w="4260"/>
            <w:tcMar>
              <w:top w:w="80" w:type="dxa"/>
              <w:start w:w="120" w:type="dxa"/>
              <w:bottom w:w="80" w:type="dxa"/>
              <w:end w:w="120" w:type="dxa"/>
            </w:tcMar>
            <w:vAlign w:val="center"/>
          </w:tcPr>
          <w:p>
            <w:pPr>
              <w:pStyle w:val="TableText"/>
            </w:pPr>
            <w:r/>
            <w:r>
              <w:rPr>
                <w:rFonts w:ascii="Calibri" w:hAnsi="Calibri" w:eastAsia="Calibri"/>
                <w:b w:val="0"/>
                <w:i w:val="0"/>
                <w:color w:val="000000"/>
                <w:sz w:val="17"/>
              </w:rPr>
              <w:t>Medición, conformidad y gobierno de calidad</w:t>
            </w:r>
          </w:p>
        </w:tc>
        <w:tc>
          <w:tcPr>
            <w:tcW w:type="dxa" w:w="3200"/>
            <w:tcMar>
              <w:top w:w="80" w:type="dxa"/>
              <w:start w:w="120" w:type="dxa"/>
              <w:bottom w:w="80" w:type="dxa"/>
              <w:end w:w="120" w:type="dxa"/>
            </w:tcMar>
            <w:vAlign w:val="center"/>
          </w:tcPr>
          <w:p>
            <w:pPr>
              <w:pStyle w:val="TableText"/>
            </w:pPr>
            <w:r/>
            <w:r>
              <w:rPr>
                <w:rFonts w:ascii="Calibri" w:hAnsi="Calibri" w:eastAsia="Calibri"/>
                <w:b w:val="0"/>
                <w:i w:val="0"/>
                <w:color w:val="000000"/>
                <w:sz w:val="17"/>
              </w:rPr>
              <w:t>RNF-MVP-001 a 010</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7"/>
              </w:rPr>
              <w:t>10</w:t>
            </w:r>
          </w:p>
        </w:tc>
      </w:tr>
      <w:tr>
        <w:trPr>
          <w:cantSplit/>
        </w:trPr>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7"/>
              </w:rPr>
              <w:t>REN</w:t>
            </w:r>
          </w:p>
        </w:tc>
        <w:tc>
          <w:tcPr>
            <w:tcW w:type="dxa" w:w="4260"/>
            <w:tcMar>
              <w:top w:w="80" w:type="dxa"/>
              <w:start w:w="120" w:type="dxa"/>
              <w:bottom w:w="80" w:type="dxa"/>
              <w:end w:w="120" w:type="dxa"/>
            </w:tcMar>
            <w:vAlign w:val="center"/>
          </w:tcPr>
          <w:p>
            <w:pPr>
              <w:pStyle w:val="TableText"/>
            </w:pPr>
            <w:r/>
            <w:r>
              <w:rPr>
                <w:rFonts w:ascii="Calibri" w:hAnsi="Calibri" w:eastAsia="Calibri"/>
                <w:b w:val="0"/>
                <w:i w:val="0"/>
                <w:color w:val="000000"/>
                <w:sz w:val="17"/>
              </w:rPr>
              <w:t>Rendimiento y sincronización</w:t>
            </w:r>
          </w:p>
        </w:tc>
        <w:tc>
          <w:tcPr>
            <w:tcW w:type="dxa" w:w="3200"/>
            <w:tcMar>
              <w:top w:w="80" w:type="dxa"/>
              <w:start w:w="120" w:type="dxa"/>
              <w:bottom w:w="80" w:type="dxa"/>
              <w:end w:w="120" w:type="dxa"/>
            </w:tcMar>
            <w:vAlign w:val="center"/>
          </w:tcPr>
          <w:p>
            <w:pPr>
              <w:pStyle w:val="TableText"/>
            </w:pPr>
            <w:r/>
            <w:r>
              <w:rPr>
                <w:rFonts w:ascii="Calibri" w:hAnsi="Calibri" w:eastAsia="Calibri"/>
                <w:b w:val="0"/>
                <w:i w:val="0"/>
                <w:color w:val="000000"/>
                <w:sz w:val="17"/>
              </w:rPr>
              <w:t>RNF-MVP-011 a 025</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7"/>
              </w:rPr>
              <w:t>15</w:t>
            </w:r>
          </w:p>
        </w:tc>
      </w:tr>
      <w:tr>
        <w:trPr>
          <w:cantSplit/>
        </w:trPr>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7"/>
              </w:rPr>
              <w:t>DIS</w:t>
            </w:r>
          </w:p>
        </w:tc>
        <w:tc>
          <w:tcPr>
            <w:tcW w:type="dxa" w:w="4260"/>
            <w:tcMar>
              <w:top w:w="80" w:type="dxa"/>
              <w:start w:w="120" w:type="dxa"/>
              <w:bottom w:w="80" w:type="dxa"/>
              <w:end w:w="120" w:type="dxa"/>
            </w:tcMar>
            <w:vAlign w:val="center"/>
          </w:tcPr>
          <w:p>
            <w:pPr>
              <w:pStyle w:val="TableText"/>
            </w:pPr>
            <w:r/>
            <w:r>
              <w:rPr>
                <w:rFonts w:ascii="Calibri" w:hAnsi="Calibri" w:eastAsia="Calibri"/>
                <w:b w:val="0"/>
                <w:i w:val="0"/>
                <w:color w:val="000000"/>
                <w:sz w:val="17"/>
              </w:rPr>
              <w:t>Disponibilidad, confiabilidad y degradación</w:t>
            </w:r>
          </w:p>
        </w:tc>
        <w:tc>
          <w:tcPr>
            <w:tcW w:type="dxa" w:w="3200"/>
            <w:tcMar>
              <w:top w:w="80" w:type="dxa"/>
              <w:start w:w="120" w:type="dxa"/>
              <w:bottom w:w="80" w:type="dxa"/>
              <w:end w:w="120" w:type="dxa"/>
            </w:tcMar>
            <w:vAlign w:val="center"/>
          </w:tcPr>
          <w:p>
            <w:pPr>
              <w:pStyle w:val="TableText"/>
            </w:pPr>
            <w:r/>
            <w:r>
              <w:rPr>
                <w:rFonts w:ascii="Calibri" w:hAnsi="Calibri" w:eastAsia="Calibri"/>
                <w:b w:val="0"/>
                <w:i w:val="0"/>
                <w:color w:val="000000"/>
                <w:sz w:val="17"/>
              </w:rPr>
              <w:t>RNF-MVP-026 a 037</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7"/>
              </w:rPr>
              <w:t>12</w:t>
            </w:r>
          </w:p>
        </w:tc>
      </w:tr>
      <w:tr>
        <w:trPr>
          <w:cantSplit/>
        </w:trPr>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7"/>
              </w:rPr>
              <w:t>CAP</w:t>
            </w:r>
          </w:p>
        </w:tc>
        <w:tc>
          <w:tcPr>
            <w:tcW w:type="dxa" w:w="4260"/>
            <w:tcMar>
              <w:top w:w="80" w:type="dxa"/>
              <w:start w:w="120" w:type="dxa"/>
              <w:bottom w:w="80" w:type="dxa"/>
              <w:end w:w="120" w:type="dxa"/>
            </w:tcMar>
            <w:vAlign w:val="center"/>
          </w:tcPr>
          <w:p>
            <w:pPr>
              <w:pStyle w:val="TableText"/>
            </w:pPr>
            <w:r/>
            <w:r>
              <w:rPr>
                <w:rFonts w:ascii="Calibri" w:hAnsi="Calibri" w:eastAsia="Calibri"/>
                <w:b w:val="0"/>
                <w:i w:val="0"/>
                <w:color w:val="000000"/>
                <w:sz w:val="17"/>
              </w:rPr>
              <w:t>Capacidad y escalabilidad</w:t>
            </w:r>
          </w:p>
        </w:tc>
        <w:tc>
          <w:tcPr>
            <w:tcW w:type="dxa" w:w="3200"/>
            <w:tcMar>
              <w:top w:w="80" w:type="dxa"/>
              <w:start w:w="120" w:type="dxa"/>
              <w:bottom w:w="80" w:type="dxa"/>
              <w:end w:w="120" w:type="dxa"/>
            </w:tcMar>
            <w:vAlign w:val="center"/>
          </w:tcPr>
          <w:p>
            <w:pPr>
              <w:pStyle w:val="TableText"/>
            </w:pPr>
            <w:r/>
            <w:r>
              <w:rPr>
                <w:rFonts w:ascii="Calibri" w:hAnsi="Calibri" w:eastAsia="Calibri"/>
                <w:b w:val="0"/>
                <w:i w:val="0"/>
                <w:color w:val="000000"/>
                <w:sz w:val="17"/>
              </w:rPr>
              <w:t>RNF-MVP-038 a 045</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7"/>
              </w:rPr>
              <w:t>8</w:t>
            </w:r>
          </w:p>
        </w:tc>
      </w:tr>
      <w:tr>
        <w:trPr>
          <w:cantSplit/>
        </w:trPr>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7"/>
              </w:rPr>
              <w:t>SEG</w:t>
            </w:r>
          </w:p>
        </w:tc>
        <w:tc>
          <w:tcPr>
            <w:tcW w:type="dxa" w:w="4260"/>
            <w:tcMar>
              <w:top w:w="80" w:type="dxa"/>
              <w:start w:w="120" w:type="dxa"/>
              <w:bottom w:w="80" w:type="dxa"/>
              <w:end w:w="120" w:type="dxa"/>
            </w:tcMar>
            <w:vAlign w:val="center"/>
          </w:tcPr>
          <w:p>
            <w:pPr>
              <w:pStyle w:val="TableText"/>
            </w:pPr>
            <w:r/>
            <w:r>
              <w:rPr>
                <w:rFonts w:ascii="Calibri" w:hAnsi="Calibri" w:eastAsia="Calibri"/>
                <w:b w:val="0"/>
                <w:i w:val="0"/>
                <w:color w:val="000000"/>
                <w:sz w:val="17"/>
              </w:rPr>
              <w:t>Seguridad de aplicación y acceso</w:t>
            </w:r>
          </w:p>
        </w:tc>
        <w:tc>
          <w:tcPr>
            <w:tcW w:type="dxa" w:w="3200"/>
            <w:tcMar>
              <w:top w:w="80" w:type="dxa"/>
              <w:start w:w="120" w:type="dxa"/>
              <w:bottom w:w="80" w:type="dxa"/>
              <w:end w:w="120" w:type="dxa"/>
            </w:tcMar>
            <w:vAlign w:val="center"/>
          </w:tcPr>
          <w:p>
            <w:pPr>
              <w:pStyle w:val="TableText"/>
            </w:pPr>
            <w:r/>
            <w:r>
              <w:rPr>
                <w:rFonts w:ascii="Calibri" w:hAnsi="Calibri" w:eastAsia="Calibri"/>
                <w:b w:val="0"/>
                <w:i w:val="0"/>
                <w:color w:val="000000"/>
                <w:sz w:val="17"/>
              </w:rPr>
              <w:t>RNF-MVP-046 a 067</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7"/>
              </w:rPr>
              <w:t>22</w:t>
            </w:r>
          </w:p>
        </w:tc>
      </w:tr>
      <w:tr>
        <w:trPr>
          <w:cantSplit/>
        </w:trPr>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7"/>
              </w:rPr>
              <w:t>PRI</w:t>
            </w:r>
          </w:p>
        </w:tc>
        <w:tc>
          <w:tcPr>
            <w:tcW w:type="dxa" w:w="4260"/>
            <w:tcMar>
              <w:top w:w="80" w:type="dxa"/>
              <w:start w:w="120" w:type="dxa"/>
              <w:bottom w:w="80" w:type="dxa"/>
              <w:end w:w="120" w:type="dxa"/>
            </w:tcMar>
            <w:vAlign w:val="center"/>
          </w:tcPr>
          <w:p>
            <w:pPr>
              <w:pStyle w:val="TableText"/>
            </w:pPr>
            <w:r/>
            <w:r>
              <w:rPr>
                <w:rFonts w:ascii="Calibri" w:hAnsi="Calibri" w:eastAsia="Calibri"/>
                <w:b w:val="0"/>
                <w:i w:val="0"/>
                <w:color w:val="000000"/>
                <w:sz w:val="17"/>
              </w:rPr>
              <w:t>Privacidad y protección de datos</w:t>
            </w:r>
          </w:p>
        </w:tc>
        <w:tc>
          <w:tcPr>
            <w:tcW w:type="dxa" w:w="3200"/>
            <w:tcMar>
              <w:top w:w="80" w:type="dxa"/>
              <w:start w:w="120" w:type="dxa"/>
              <w:bottom w:w="80" w:type="dxa"/>
              <w:end w:w="120" w:type="dxa"/>
            </w:tcMar>
            <w:vAlign w:val="center"/>
          </w:tcPr>
          <w:p>
            <w:pPr>
              <w:pStyle w:val="TableText"/>
            </w:pPr>
            <w:r/>
            <w:r>
              <w:rPr>
                <w:rFonts w:ascii="Calibri" w:hAnsi="Calibri" w:eastAsia="Calibri"/>
                <w:b w:val="0"/>
                <w:i w:val="0"/>
                <w:color w:val="000000"/>
                <w:sz w:val="17"/>
              </w:rPr>
              <w:t>RNF-MVP-068 a 079</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7"/>
              </w:rPr>
              <w:t>12</w:t>
            </w:r>
          </w:p>
        </w:tc>
      </w:tr>
      <w:tr>
        <w:trPr>
          <w:cantSplit/>
        </w:trPr>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7"/>
              </w:rPr>
              <w:t>REC</w:t>
            </w:r>
          </w:p>
        </w:tc>
        <w:tc>
          <w:tcPr>
            <w:tcW w:type="dxa" w:w="4260"/>
            <w:tcMar>
              <w:top w:w="80" w:type="dxa"/>
              <w:start w:w="120" w:type="dxa"/>
              <w:bottom w:w="80" w:type="dxa"/>
              <w:end w:w="120" w:type="dxa"/>
            </w:tcMar>
            <w:vAlign w:val="center"/>
          </w:tcPr>
          <w:p>
            <w:pPr>
              <w:pStyle w:val="TableText"/>
            </w:pPr>
            <w:r/>
            <w:r>
              <w:rPr>
                <w:rFonts w:ascii="Calibri" w:hAnsi="Calibri" w:eastAsia="Calibri"/>
                <w:b w:val="0"/>
                <w:i w:val="0"/>
                <w:color w:val="000000"/>
                <w:sz w:val="17"/>
              </w:rPr>
              <w:t>Respaldo, recuperación y continuidad</w:t>
            </w:r>
          </w:p>
        </w:tc>
        <w:tc>
          <w:tcPr>
            <w:tcW w:type="dxa" w:w="3200"/>
            <w:tcMar>
              <w:top w:w="80" w:type="dxa"/>
              <w:start w:w="120" w:type="dxa"/>
              <w:bottom w:w="80" w:type="dxa"/>
              <w:end w:w="120" w:type="dxa"/>
            </w:tcMar>
            <w:vAlign w:val="center"/>
          </w:tcPr>
          <w:p>
            <w:pPr>
              <w:pStyle w:val="TableText"/>
            </w:pPr>
            <w:r/>
            <w:r>
              <w:rPr>
                <w:rFonts w:ascii="Calibri" w:hAnsi="Calibri" w:eastAsia="Calibri"/>
                <w:b w:val="0"/>
                <w:i w:val="0"/>
                <w:color w:val="000000"/>
                <w:sz w:val="17"/>
              </w:rPr>
              <w:t>RNF-MVP-080 a 089</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7"/>
              </w:rPr>
              <w:t>10</w:t>
            </w:r>
          </w:p>
        </w:tc>
      </w:tr>
      <w:tr>
        <w:trPr>
          <w:cantSplit/>
        </w:trPr>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ACC</w:t>
            </w:r>
          </w:p>
        </w:tc>
        <w:tc>
          <w:tcPr>
            <w:tcW w:type="dxa" w:w="4260"/>
            <w:tcMar>
              <w:top w:w="80" w:type="dxa"/>
              <w:start w:w="120" w:type="dxa"/>
              <w:bottom w:w="80" w:type="dxa"/>
              <w:end w:w="120" w:type="dxa"/>
            </w:tcMar>
            <w:vAlign w:val="center"/>
          </w:tcPr>
          <w:p>
            <w:pPr>
              <w:pStyle w:val="TableText"/>
            </w:pPr>
            <w:r/>
            <w:r>
              <w:rPr>
                <w:rFonts w:ascii="Calibri" w:hAnsi="Calibri" w:eastAsia="Calibri"/>
                <w:b w:val="0"/>
                <w:i w:val="0"/>
                <w:color w:val="000000"/>
                <w:sz w:val="17"/>
              </w:rPr>
              <w:t>Accesibilidad, usabilidad e internacionalización</w:t>
            </w:r>
          </w:p>
        </w:tc>
        <w:tc>
          <w:tcPr>
            <w:tcW w:type="dxa" w:w="3200"/>
            <w:tcMar>
              <w:top w:w="80" w:type="dxa"/>
              <w:start w:w="120" w:type="dxa"/>
              <w:bottom w:w="80" w:type="dxa"/>
              <w:end w:w="120" w:type="dxa"/>
            </w:tcMar>
            <w:vAlign w:val="center"/>
          </w:tcPr>
          <w:p>
            <w:pPr>
              <w:pStyle w:val="TableText"/>
            </w:pPr>
            <w:r/>
            <w:r>
              <w:rPr>
                <w:rFonts w:ascii="Calibri" w:hAnsi="Calibri" w:eastAsia="Calibri"/>
                <w:b w:val="0"/>
                <w:i w:val="0"/>
                <w:color w:val="000000"/>
                <w:sz w:val="17"/>
              </w:rPr>
              <w:t>RNF-MVP-090 a 109</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7"/>
              </w:rPr>
              <w:t>20</w:t>
            </w:r>
          </w:p>
        </w:tc>
      </w:tr>
      <w:tr>
        <w:trPr>
          <w:cantSplit/>
        </w:trPr>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7"/>
              </w:rPr>
              <w:t>COM</w:t>
            </w:r>
          </w:p>
        </w:tc>
        <w:tc>
          <w:tcPr>
            <w:tcW w:type="dxa" w:w="4260"/>
            <w:tcMar>
              <w:top w:w="80" w:type="dxa"/>
              <w:start w:w="120" w:type="dxa"/>
              <w:bottom w:w="80" w:type="dxa"/>
              <w:end w:w="120" w:type="dxa"/>
            </w:tcMar>
            <w:vAlign w:val="center"/>
          </w:tcPr>
          <w:p>
            <w:pPr>
              <w:pStyle w:val="TableText"/>
            </w:pPr>
            <w:r/>
            <w:r>
              <w:rPr>
                <w:rFonts w:ascii="Calibri" w:hAnsi="Calibri" w:eastAsia="Calibri"/>
                <w:b w:val="0"/>
                <w:i w:val="0"/>
                <w:color w:val="000000"/>
                <w:sz w:val="17"/>
              </w:rPr>
              <w:t>Compatibilidad y portabilidad</w:t>
            </w:r>
          </w:p>
        </w:tc>
        <w:tc>
          <w:tcPr>
            <w:tcW w:type="dxa" w:w="3200"/>
            <w:tcMar>
              <w:top w:w="80" w:type="dxa"/>
              <w:start w:w="120" w:type="dxa"/>
              <w:bottom w:w="80" w:type="dxa"/>
              <w:end w:w="120" w:type="dxa"/>
            </w:tcMar>
            <w:vAlign w:val="center"/>
          </w:tcPr>
          <w:p>
            <w:pPr>
              <w:pStyle w:val="TableText"/>
            </w:pPr>
            <w:r/>
            <w:r>
              <w:rPr>
                <w:rFonts w:ascii="Calibri" w:hAnsi="Calibri" w:eastAsia="Calibri"/>
                <w:b w:val="0"/>
                <w:i w:val="0"/>
                <w:color w:val="000000"/>
                <w:sz w:val="17"/>
              </w:rPr>
              <w:t>RNF-MVP-110 a 119</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7"/>
              </w:rPr>
              <w:t>10</w:t>
            </w:r>
          </w:p>
        </w:tc>
      </w:tr>
      <w:tr>
        <w:trPr>
          <w:cantSplit/>
        </w:trPr>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7"/>
              </w:rPr>
              <w:t>OBS</w:t>
            </w:r>
          </w:p>
        </w:tc>
        <w:tc>
          <w:tcPr>
            <w:tcW w:type="dxa" w:w="4260"/>
            <w:tcMar>
              <w:top w:w="80" w:type="dxa"/>
              <w:start w:w="120" w:type="dxa"/>
              <w:bottom w:w="80" w:type="dxa"/>
              <w:end w:w="120" w:type="dxa"/>
            </w:tcMar>
            <w:vAlign w:val="center"/>
          </w:tcPr>
          <w:p>
            <w:pPr>
              <w:pStyle w:val="TableText"/>
            </w:pPr>
            <w:r/>
            <w:r>
              <w:rPr>
                <w:rFonts w:ascii="Calibri" w:hAnsi="Calibri" w:eastAsia="Calibri"/>
                <w:b w:val="0"/>
                <w:i w:val="0"/>
                <w:color w:val="000000"/>
                <w:sz w:val="17"/>
              </w:rPr>
              <w:t>Observabilidad y auditabilidad</w:t>
            </w:r>
          </w:p>
        </w:tc>
        <w:tc>
          <w:tcPr>
            <w:tcW w:type="dxa" w:w="3200"/>
            <w:tcMar>
              <w:top w:w="80" w:type="dxa"/>
              <w:start w:w="120" w:type="dxa"/>
              <w:bottom w:w="80" w:type="dxa"/>
              <w:end w:w="120" w:type="dxa"/>
            </w:tcMar>
            <w:vAlign w:val="center"/>
          </w:tcPr>
          <w:p>
            <w:pPr>
              <w:pStyle w:val="TableText"/>
            </w:pPr>
            <w:r/>
            <w:r>
              <w:rPr>
                <w:rFonts w:ascii="Calibri" w:hAnsi="Calibri" w:eastAsia="Calibri"/>
                <w:b w:val="0"/>
                <w:i w:val="0"/>
                <w:color w:val="000000"/>
                <w:sz w:val="17"/>
              </w:rPr>
              <w:t>RNF-MVP-120 a 131</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7"/>
              </w:rPr>
              <w:t>12</w:t>
            </w:r>
          </w:p>
        </w:tc>
      </w:tr>
      <w:tr>
        <w:trPr>
          <w:cantSplit/>
        </w:trPr>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7"/>
              </w:rPr>
              <w:t>MAN</w:t>
            </w:r>
          </w:p>
        </w:tc>
        <w:tc>
          <w:tcPr>
            <w:tcW w:type="dxa" w:w="4260"/>
            <w:tcMar>
              <w:top w:w="80" w:type="dxa"/>
              <w:start w:w="120" w:type="dxa"/>
              <w:bottom w:w="80" w:type="dxa"/>
              <w:end w:w="120" w:type="dxa"/>
            </w:tcMar>
            <w:vAlign w:val="center"/>
          </w:tcPr>
          <w:p>
            <w:pPr>
              <w:pStyle w:val="TableText"/>
            </w:pPr>
            <w:r/>
            <w:r>
              <w:rPr>
                <w:rFonts w:ascii="Calibri" w:hAnsi="Calibri" w:eastAsia="Calibri"/>
                <w:b w:val="0"/>
                <w:i w:val="0"/>
                <w:color w:val="000000"/>
                <w:sz w:val="17"/>
              </w:rPr>
              <w:t>Mantenibilidad, pruebas y despliegue</w:t>
            </w:r>
          </w:p>
        </w:tc>
        <w:tc>
          <w:tcPr>
            <w:tcW w:type="dxa" w:w="3200"/>
            <w:tcMar>
              <w:top w:w="80" w:type="dxa"/>
              <w:start w:w="120" w:type="dxa"/>
              <w:bottom w:w="80" w:type="dxa"/>
              <w:end w:w="120" w:type="dxa"/>
            </w:tcMar>
            <w:vAlign w:val="center"/>
          </w:tcPr>
          <w:p>
            <w:pPr>
              <w:pStyle w:val="TableText"/>
            </w:pPr>
            <w:r/>
            <w:r>
              <w:rPr>
                <w:rFonts w:ascii="Calibri" w:hAnsi="Calibri" w:eastAsia="Calibri"/>
                <w:b w:val="0"/>
                <w:i w:val="0"/>
                <w:color w:val="000000"/>
                <w:sz w:val="17"/>
              </w:rPr>
              <w:t>RNF-MVP-132 a 143</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7"/>
              </w:rPr>
              <w:t>12</w:t>
            </w:r>
          </w:p>
        </w:tc>
      </w:tr>
      <w:tr>
        <w:trPr>
          <w:cantSplit/>
        </w:trPr>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7"/>
              </w:rPr>
              <w:t>DAT</w:t>
            </w:r>
          </w:p>
        </w:tc>
        <w:tc>
          <w:tcPr>
            <w:tcW w:type="dxa" w:w="4260"/>
            <w:tcMar>
              <w:top w:w="80" w:type="dxa"/>
              <w:start w:w="120" w:type="dxa"/>
              <w:bottom w:w="80" w:type="dxa"/>
              <w:end w:w="120" w:type="dxa"/>
            </w:tcMar>
            <w:vAlign w:val="center"/>
          </w:tcPr>
          <w:p>
            <w:pPr>
              <w:pStyle w:val="TableText"/>
            </w:pPr>
            <w:r/>
            <w:r>
              <w:rPr>
                <w:rFonts w:ascii="Calibri" w:hAnsi="Calibri" w:eastAsia="Calibri"/>
                <w:b w:val="0"/>
                <w:i w:val="0"/>
                <w:color w:val="000000"/>
                <w:sz w:val="17"/>
              </w:rPr>
              <w:t>Integridad de datos, contenido y dependencia de YouTube</w:t>
            </w:r>
          </w:p>
        </w:tc>
        <w:tc>
          <w:tcPr>
            <w:tcW w:type="dxa" w:w="3200"/>
            <w:tcMar>
              <w:top w:w="80" w:type="dxa"/>
              <w:start w:w="120" w:type="dxa"/>
              <w:bottom w:w="80" w:type="dxa"/>
              <w:end w:w="120" w:type="dxa"/>
            </w:tcMar>
            <w:vAlign w:val="center"/>
          </w:tcPr>
          <w:p>
            <w:pPr>
              <w:pStyle w:val="TableText"/>
            </w:pPr>
            <w:r/>
            <w:r>
              <w:rPr>
                <w:rFonts w:ascii="Calibri" w:hAnsi="Calibri" w:eastAsia="Calibri"/>
                <w:b w:val="0"/>
                <w:i w:val="0"/>
                <w:color w:val="000000"/>
                <w:sz w:val="17"/>
              </w:rPr>
              <w:t>RNF-MVP-144 a 150</w:t>
            </w:r>
          </w:p>
        </w:tc>
        <w:tc>
          <w:tcPr>
            <w:tcW w:type="dxa" w:w="1200"/>
            <w:tcMar>
              <w:top w:w="80" w:type="dxa"/>
              <w:start w:w="120" w:type="dxa"/>
              <w:bottom w:w="80" w:type="dxa"/>
              <w:end w:w="120" w:type="dxa"/>
            </w:tcMar>
            <w:vAlign w:val="center"/>
          </w:tcPr>
          <w:p>
            <w:pPr>
              <w:pStyle w:val="TableText"/>
            </w:pPr>
            <w:r/>
            <w:r>
              <w:rPr>
                <w:rFonts w:ascii="Calibri" w:hAnsi="Calibri" w:eastAsia="Calibri"/>
                <w:b w:val="0"/>
                <w:i w:val="0"/>
                <w:color w:val="000000"/>
                <w:sz w:val="17"/>
              </w:rPr>
              <w:t>7</w:t>
            </w:r>
          </w:p>
        </w:tc>
      </w:tr>
      <w:tr>
        <w:trPr>
          <w:cantSplit/>
        </w:trPr>
        <w:tc>
          <w:tcPr>
            <w:tcW w:type="dxa" w:w="700"/>
            <w:tcMar>
              <w:top w:w="80" w:type="dxa"/>
              <w:start w:w="120" w:type="dxa"/>
              <w:bottom w:w="80" w:type="dxa"/>
              <w:end w:w="120" w:type="dxa"/>
            </w:tcMar>
            <w:vAlign w:val="center"/>
            <w:shd w:fill="E8F3E8"/>
          </w:tcPr>
          <w:p>
            <w:pPr>
              <w:pStyle w:val="TableText"/>
            </w:pPr>
            <w:r/>
            <w:r>
              <w:rPr>
                <w:rFonts w:ascii="Calibri" w:hAnsi="Calibri" w:eastAsia="Calibri"/>
                <w:b w:val="0"/>
                <w:i w:val="0"/>
                <w:color w:val="000000"/>
                <w:sz w:val="17"/>
              </w:rPr>
              <w:t>TOTAL</w:t>
            </w:r>
          </w:p>
        </w:tc>
        <w:tc>
          <w:tcPr>
            <w:tcW w:type="dxa" w:w="4260"/>
            <w:tcMar>
              <w:top w:w="80" w:type="dxa"/>
              <w:start w:w="120" w:type="dxa"/>
              <w:bottom w:w="80" w:type="dxa"/>
              <w:end w:w="120" w:type="dxa"/>
            </w:tcMar>
            <w:vAlign w:val="center"/>
            <w:shd w:fill="E8F3E8"/>
          </w:tcPr>
          <w:p>
            <w:pPr>
              <w:pStyle w:val="TableText"/>
            </w:pPr>
            <w:r/>
            <w:r>
              <w:rPr>
                <w:rFonts w:ascii="Calibri" w:hAnsi="Calibri" w:eastAsia="Calibri"/>
                <w:b w:val="0"/>
                <w:i w:val="0"/>
                <w:color w:val="000000"/>
                <w:sz w:val="17"/>
              </w:rPr>
              <w:t>Línea base no funcional del MVP</w:t>
            </w:r>
          </w:p>
        </w:tc>
        <w:tc>
          <w:tcPr>
            <w:tcW w:type="dxa" w:w="3200"/>
            <w:tcMar>
              <w:top w:w="80" w:type="dxa"/>
              <w:start w:w="120" w:type="dxa"/>
              <w:bottom w:w="80" w:type="dxa"/>
              <w:end w:w="120" w:type="dxa"/>
            </w:tcMar>
            <w:vAlign w:val="center"/>
            <w:shd w:fill="E8F3E8"/>
          </w:tcPr>
          <w:p>
            <w:pPr>
              <w:pStyle w:val="TableText"/>
            </w:pPr>
            <w:r/>
            <w:r>
              <w:rPr>
                <w:rFonts w:ascii="Calibri" w:hAnsi="Calibri" w:eastAsia="Calibri"/>
                <w:b w:val="0"/>
                <w:i w:val="0"/>
                <w:color w:val="000000"/>
                <w:sz w:val="17"/>
              </w:rPr>
              <w:t>RNF-MVP-001 a 150</w:t>
            </w:r>
          </w:p>
        </w:tc>
        <w:tc>
          <w:tcPr>
            <w:tcW w:type="dxa" w:w="1200"/>
            <w:tcMar>
              <w:top w:w="80" w:type="dxa"/>
              <w:start w:w="120" w:type="dxa"/>
              <w:bottom w:w="80" w:type="dxa"/>
              <w:end w:w="120" w:type="dxa"/>
            </w:tcMar>
            <w:vAlign w:val="center"/>
            <w:shd w:fill="E8F3E8"/>
          </w:tcPr>
          <w:p>
            <w:pPr>
              <w:pStyle w:val="TableText"/>
            </w:pPr>
            <w:r/>
            <w:r>
              <w:rPr>
                <w:rFonts w:ascii="Calibri" w:hAnsi="Calibri" w:eastAsia="Calibri"/>
                <w:b w:val="0"/>
                <w:i w:val="0"/>
                <w:color w:val="000000"/>
                <w:sz w:val="17"/>
              </w:rPr>
              <w:t>150</w:t>
            </w:r>
          </w:p>
        </w:tc>
      </w:tr>
    </w:tbl>
    <w:p>
      <w:pPr>
        <w:pStyle w:val="SmallNote"/>
        <w:spacing w:after="40"/>
      </w:pPr>
    </w:p>
    <w:p>
      <w:pPr>
        <w:pStyle w:val="Heading2"/>
      </w:pPr>
      <w:r>
        <w:t>3.1 Regla de aprobación</w:t>
      </w:r>
    </w:p>
    <w:p>
      <w:r>
        <w:t>El candidato se aprueba cuando las evidencias previas pasan, las obligaciones operativas están configuradas y ensayadas, no existen hallazgos críticos abiertos y la trazabilidad cubre la totalidad de la línea base.</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800"/>
        <w:gridCol w:w="7560"/>
      </w:tblGrid>
      <w:tr>
        <w:trPr>
          <w:tblHeader w:val="true"/>
          <w:cantSplit/>
        </w:trPr>
        <w:tc>
          <w:tcPr>
            <w:tcW w:type="dxa" w:w="18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8"/>
              </w:rPr>
              <w:t>Puerta</w:t>
            </w:r>
          </w:p>
        </w:tc>
        <w:tc>
          <w:tcPr>
            <w:tcW w:type="dxa" w:w="75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8"/>
              </w:rPr>
              <w:t>Condición de aprobación</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8"/>
              </w:rPr>
              <w:t>Función</w:t>
            </w:r>
          </w:p>
        </w:tc>
        <w:tc>
          <w:tcPr>
            <w:tcW w:type="dxa" w:w="7560"/>
            <w:tcMar>
              <w:top w:w="80" w:type="dxa"/>
              <w:start w:w="120" w:type="dxa"/>
              <w:bottom w:w="80" w:type="dxa"/>
              <w:end w:w="120" w:type="dxa"/>
            </w:tcMar>
            <w:vAlign w:val="center"/>
          </w:tcPr>
          <w:p>
            <w:pPr>
              <w:pStyle w:val="TableText"/>
            </w:pPr>
            <w:r/>
            <w:r>
              <w:rPr>
                <w:rFonts w:ascii="Calibri" w:hAnsi="Calibri" w:eastAsia="Calibri"/>
                <w:b w:val="0"/>
                <w:i w:val="0"/>
                <w:color w:val="000000"/>
                <w:sz w:val="18"/>
              </w:rPr>
              <w:t>CE-01 a CE-14 aprobados en el mismo candidato</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8"/>
              </w:rPr>
              <w:t>Rendimiento</w:t>
            </w:r>
          </w:p>
        </w:tc>
        <w:tc>
          <w:tcPr>
            <w:tcW w:type="dxa" w:w="7560"/>
            <w:tcMar>
              <w:top w:w="80" w:type="dxa"/>
              <w:start w:w="120" w:type="dxa"/>
              <w:bottom w:w="80" w:type="dxa"/>
              <w:end w:w="120" w:type="dxa"/>
            </w:tcMar>
            <w:vAlign w:val="center"/>
          </w:tcPr>
          <w:p>
            <w:pPr>
              <w:pStyle w:val="TableText"/>
            </w:pPr>
            <w:r/>
            <w:r>
              <w:rPr>
                <w:rFonts w:ascii="Calibri" w:hAnsi="Calibri" w:eastAsia="Calibri"/>
                <w:b w:val="0"/>
                <w:i w:val="0"/>
                <w:color w:val="000000"/>
                <w:sz w:val="18"/>
              </w:rPr>
              <w:t>Umbrales REN y CAP cumplidos bajo datos y carga nominal</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8"/>
              </w:rPr>
              <w:t>Protección</w:t>
            </w:r>
          </w:p>
        </w:tc>
        <w:tc>
          <w:tcPr>
            <w:tcW w:type="dxa" w:w="7560"/>
            <w:tcMar>
              <w:top w:w="80" w:type="dxa"/>
              <w:start w:w="120" w:type="dxa"/>
              <w:bottom w:w="80" w:type="dxa"/>
              <w:end w:w="120" w:type="dxa"/>
            </w:tcMar>
            <w:vAlign w:val="center"/>
          </w:tcPr>
          <w:p>
            <w:pPr>
              <w:pStyle w:val="TableText"/>
            </w:pPr>
            <w:r/>
            <w:r>
              <w:rPr>
                <w:rFonts w:ascii="Calibri" w:hAnsi="Calibri" w:eastAsia="Calibri"/>
                <w:b w:val="0"/>
                <w:i w:val="0"/>
                <w:color w:val="000000"/>
                <w:sz w:val="18"/>
              </w:rPr>
              <w:t>0 hallazgos críticos o altos abiertos en seguridad y privacidad</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8"/>
              </w:rPr>
              <w:t>Accesibilidad</w:t>
            </w:r>
          </w:p>
        </w:tc>
        <w:tc>
          <w:tcPr>
            <w:tcW w:type="dxa" w:w="7560"/>
            <w:tcMar>
              <w:top w:w="80" w:type="dxa"/>
              <w:start w:w="120" w:type="dxa"/>
              <w:bottom w:w="80" w:type="dxa"/>
              <w:end w:w="120" w:type="dxa"/>
            </w:tcMar>
            <w:vAlign w:val="center"/>
          </w:tcPr>
          <w:p>
            <w:pPr>
              <w:pStyle w:val="TableText"/>
            </w:pPr>
            <w:r/>
            <w:r>
              <w:rPr>
                <w:rFonts w:ascii="Calibri" w:hAnsi="Calibri" w:eastAsia="Calibri"/>
                <w:b w:val="0"/>
                <w:i w:val="0"/>
                <w:color w:val="000000"/>
                <w:sz w:val="18"/>
              </w:rPr>
              <w:t>0 fallos WCAG 2.2 A/AA en el recorrido esencial</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8"/>
              </w:rPr>
              <w:t>Recuperación</w:t>
            </w:r>
          </w:p>
        </w:tc>
        <w:tc>
          <w:tcPr>
            <w:tcW w:type="dxa" w:w="7560"/>
            <w:tcMar>
              <w:top w:w="80" w:type="dxa"/>
              <w:start w:w="120" w:type="dxa"/>
              <w:bottom w:w="80" w:type="dxa"/>
              <w:end w:w="120" w:type="dxa"/>
            </w:tcMar>
            <w:vAlign w:val="center"/>
          </w:tcPr>
          <w:p>
            <w:pPr>
              <w:pStyle w:val="TableText"/>
            </w:pPr>
            <w:r/>
            <w:r>
              <w:rPr>
                <w:rFonts w:ascii="Calibri" w:hAnsi="Calibri" w:eastAsia="Calibri"/>
                <w:b w:val="0"/>
                <w:i w:val="0"/>
                <w:color w:val="000000"/>
                <w:sz w:val="18"/>
              </w:rPr>
              <w:t>Restauración completa dentro de RPO &lt;= 1 h y RTO &lt;= 4 h</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8"/>
              </w:rPr>
              <w:t>Integridad</w:t>
            </w:r>
          </w:p>
        </w:tc>
        <w:tc>
          <w:tcPr>
            <w:tcW w:type="dxa" w:w="7560"/>
            <w:tcMar>
              <w:top w:w="80" w:type="dxa"/>
              <w:start w:w="120" w:type="dxa"/>
              <w:bottom w:w="80" w:type="dxa"/>
              <w:end w:w="120" w:type="dxa"/>
            </w:tcMar>
            <w:vAlign w:val="center"/>
          </w:tcPr>
          <w:p>
            <w:pPr>
              <w:pStyle w:val="TableText"/>
            </w:pPr>
            <w:r/>
            <w:r>
              <w:rPr>
                <w:rFonts w:ascii="Calibri" w:hAnsi="Calibri" w:eastAsia="Calibri"/>
                <w:b w:val="0"/>
                <w:i w:val="0"/>
                <w:color w:val="000000"/>
                <w:sz w:val="18"/>
              </w:rPr>
              <w:t>0 duplicados lógicos, pérdidas confirmadas, huérfanos o publicaciones sin procedencia</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8"/>
              </w:rPr>
              <w:t>Operación</w:t>
            </w:r>
          </w:p>
        </w:tc>
        <w:tc>
          <w:tcPr>
            <w:tcW w:type="dxa" w:w="7560"/>
            <w:tcMar>
              <w:top w:w="80" w:type="dxa"/>
              <w:start w:w="120" w:type="dxa"/>
              <w:bottom w:w="80" w:type="dxa"/>
              <w:end w:w="120" w:type="dxa"/>
            </w:tcMar>
            <w:vAlign w:val="center"/>
          </w:tcPr>
          <w:p>
            <w:pPr>
              <w:pStyle w:val="TableText"/>
            </w:pPr>
            <w:r/>
            <w:r>
              <w:rPr>
                <w:rFonts w:ascii="Calibri" w:hAnsi="Calibri" w:eastAsia="Calibri"/>
                <w:b w:val="0"/>
                <w:i w:val="0"/>
                <w:color w:val="000000"/>
                <w:sz w:val="18"/>
              </w:rPr>
              <w:t>Monitoreo, alertas, runbooks y responsables probados</w:t>
            </w:r>
          </w:p>
        </w:tc>
      </w:tr>
    </w:tbl>
    <w:p>
      <w:pPr>
        <w:pStyle w:val="SmallNote"/>
        <w:spacing w:after="40"/>
      </w:pPr>
    </w:p>
    <w:p>
      <w:pPr>
        <w:pStyle w:val="Heading1"/>
      </w:pPr>
      <w:r>
        <w:t>4. Medición, conformidad y gobierno de calidad</w:t>
      </w:r>
    </w:p>
    <w:p>
      <w:pPr>
        <w:keepNext/>
      </w:pPr>
      <w:r>
        <w:t>Establecer una forma única de medir, aprobar y cambiar los umbrales del MVP sin depender de promedios engañosos ni de decisiones informales.</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700"/>
        <w:gridCol w:w="7660"/>
      </w:tblGrid>
      <w:tr>
        <w:trPr>
          <w:tblHeader w:val="true"/>
          <w:cantSplit/>
        </w:trPr>
        <w:tc>
          <w:tcPr>
            <w:tcW w:type="dxa" w:w="17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Trazabilidad</w:t>
            </w:r>
          </w:p>
        </w:tc>
        <w:tc>
          <w:tcPr>
            <w:tcW w:type="dxa" w:w="76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Cobertura</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7"/>
              </w:rPr>
              <w:t>Módulos</w:t>
            </w:r>
          </w:p>
        </w:tc>
        <w:tc>
          <w:tcPr>
            <w:tcW w:type="dxa" w:w="7660"/>
            <w:tcMar>
              <w:top w:w="80" w:type="dxa"/>
              <w:start w:w="120" w:type="dxa"/>
              <w:bottom w:w="80" w:type="dxa"/>
              <w:end w:w="120" w:type="dxa"/>
            </w:tcMar>
            <w:vAlign w:val="center"/>
          </w:tcPr>
          <w:p>
            <w:pPr>
              <w:pStyle w:val="TableText"/>
            </w:pPr>
            <w:r/>
            <w:r>
              <w:rPr>
                <w:rFonts w:ascii="Calibri" w:hAnsi="Calibri" w:eastAsia="Calibri"/>
                <w:b w:val="0"/>
                <w:i w:val="0"/>
                <w:color w:val="000000"/>
                <w:sz w:val="17"/>
              </w:rPr>
              <w:t>M01-M19; aplicación transversal a los componentes P0</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7"/>
              </w:rPr>
              <w:t>Criterios y flujos</w:t>
            </w:r>
          </w:p>
        </w:tc>
        <w:tc>
          <w:tcPr>
            <w:tcW w:type="dxa" w:w="7660"/>
            <w:tcMar>
              <w:top w:w="80" w:type="dxa"/>
              <w:start w:w="120" w:type="dxa"/>
              <w:bottom w:w="80" w:type="dxa"/>
              <w:end w:w="120" w:type="dxa"/>
            </w:tcMar>
            <w:vAlign w:val="center"/>
          </w:tcPr>
          <w:p>
            <w:pPr>
              <w:pStyle w:val="TableText"/>
            </w:pPr>
            <w:r/>
            <w:r>
              <w:rPr>
                <w:rFonts w:ascii="Calibri" w:hAnsi="Calibri" w:eastAsia="Calibri"/>
                <w:b w:val="0"/>
                <w:i w:val="0"/>
                <w:color w:val="000000"/>
                <w:sz w:val="17"/>
              </w:rPr>
              <w:t>CE-01 a CE-14; F01 a F10</w:t>
            </w:r>
          </w:p>
        </w:tc>
      </w:tr>
    </w:tbl>
    <w:p>
      <w:pPr>
        <w:pStyle w:val="SmallNote"/>
        <w:spacing w:after="40"/>
      </w:pP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900"/>
        <w:gridCol w:w="3400"/>
        <w:gridCol w:w="2600"/>
        <w:gridCol w:w="2460"/>
      </w:tblGrid>
      <w:tr>
        <w:trPr>
          <w:tblHeader w:val="true"/>
          <w:cantSplit/>
        </w:trPr>
        <w:tc>
          <w:tcPr>
            <w:tcW w:type="dxa" w:w="90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ID</w:t>
            </w:r>
          </w:p>
        </w:tc>
        <w:tc>
          <w:tcPr>
            <w:tcW w:type="dxa" w:w="340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Requisito</w:t>
            </w:r>
          </w:p>
        </w:tc>
        <w:tc>
          <w:tcPr>
            <w:tcW w:type="dxa" w:w="260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Métrica y umbral</w:t>
            </w:r>
          </w:p>
        </w:tc>
        <w:tc>
          <w:tcPr>
            <w:tcW w:type="dxa" w:w="246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Verificación y evidencia</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RNF-MVP-001</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Cobertura de las puertas de salida. </w:t>
            </w:r>
            <w:r>
              <w:rPr>
                <w:rFonts w:ascii="Calibri" w:hAnsi="Calibri" w:eastAsia="Calibri"/>
                <w:b w:val="0"/>
                <w:i w:val="0"/>
                <w:color w:val="000000"/>
                <w:sz w:val="17"/>
              </w:rPr>
              <w:t>Los RNF se aplicarán a todos los criterios de salida y flujos críticos definidos para el MVP.</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100 % de CE-01 a CE-14 y F01 a F10 con evidencia asociada.</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matriz RNF-CE-F revisada y sin celdas vacías.</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RNF-MVP-002</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Evidencia obligatoria. </w:t>
            </w:r>
            <w:r>
              <w:rPr>
                <w:rFonts w:ascii="Calibri" w:hAnsi="Calibri" w:eastAsia="Calibri"/>
                <w:b w:val="0"/>
                <w:i w:val="0"/>
                <w:color w:val="000000"/>
                <w:sz w:val="17"/>
              </w:rPr>
              <w:t>Cada RNF contará con una evidencia reproducible, responsable, fecha, ambiente, datos y resultado.</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150 de 150 RNF con evidencia aprobada o estado operativo programado.</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expediente de liberación y revisión por QA.</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RNF-MVP-003</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Carga de referencia. </w:t>
            </w:r>
            <w:r>
              <w:rPr>
                <w:rFonts w:ascii="Calibri" w:hAnsi="Calibri" w:eastAsia="Calibri"/>
                <w:b w:val="0"/>
                <w:i w:val="0"/>
                <w:color w:val="000000"/>
                <w:sz w:val="17"/>
              </w:rPr>
              <w:t>Las pruebas de rendimiento usarán una carga común para que sus resultados sean comparables.</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100 usuarios activos, 20 solicitudes/s durante 30 min y ráfaga de 60 solicitudes/s durante 2 min.</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script, configuración y reporte de carga versionados.</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RNF-MVP-004</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Conjunto de datos de referencia. </w:t>
            </w:r>
            <w:r>
              <w:rPr>
                <w:rFonts w:ascii="Calibri" w:hAnsi="Calibri" w:eastAsia="Calibri"/>
                <w:b w:val="0"/>
                <w:i w:val="0"/>
                <w:color w:val="000000"/>
                <w:sz w:val="17"/>
              </w:rPr>
              <w:t>Las mediciones usarán un volumen representativo sin reducir artificialmente la complejidad.</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5.000 canciones, 50.000 cuentas, 2 millones de intentos/evidencias y 5 millones de tokens lingüísticos.</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inventario y conteo del conjunto de prueba.</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RNF-MVP-005</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Paridad de ambientes. </w:t>
            </w:r>
            <w:r>
              <w:rPr>
                <w:rFonts w:ascii="Calibri" w:hAnsi="Calibri" w:eastAsia="Calibri"/>
                <w:b w:val="0"/>
                <w:i w:val="0"/>
                <w:color w:val="000000"/>
                <w:sz w:val="17"/>
              </w:rPr>
              <w:t>El ambiente de pruebas no funcionales reproducirá la clase de configuración, servicios y políticas de producción.</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100 % de diferencias documentadas; ninguna diferencia de seguridad, almacenamiento o caché sin justificación.</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comparación automatizada de configuración y revisión técnica.</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RNF-MVP-006</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Tamaño mínimo de muestra. </w:t>
            </w:r>
            <w:r>
              <w:rPr>
                <w:rFonts w:ascii="Calibri" w:hAnsi="Calibri" w:eastAsia="Calibri"/>
                <w:b w:val="0"/>
                <w:i w:val="0"/>
                <w:color w:val="000000"/>
                <w:sz w:val="17"/>
              </w:rPr>
              <w:t>Los percentiles se calcularán sobre una muestra suficiente y durante estado estable.</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Al menos 30 min y 10.000 operaciones por prueba; si el flujo no alcanza ese volumen, se evalúa el 100 % de sus ejecuciones.</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reporte con muestra, calentamiento y ventana de medición.</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RNF-MVP-007</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Separación de YouTube. </w:t>
            </w:r>
            <w:r>
              <w:rPr>
                <w:rFonts w:ascii="Calibri" w:hAnsi="Calibri" w:eastAsia="Calibri"/>
                <w:b w:val="0"/>
                <w:i w:val="0"/>
                <w:color w:val="000000"/>
                <w:sz w:val="17"/>
              </w:rPr>
              <w:t>La latencia y disponibilidad propias se medirán sin atribuir al sistema el tiempo interno del reproductor externo.</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Métricas internas y externas separadas en el 100 % de los reportes; la degradación del embed sí se prueba.</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Pre/Op: trazas diferenciadas y prueba de indisponibilidad externa.</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RNF-MVP-008</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Tiempo común. </w:t>
            </w:r>
            <w:r>
              <w:rPr>
                <w:rFonts w:ascii="Calibri" w:hAnsi="Calibri" w:eastAsia="Calibri"/>
                <w:b w:val="0"/>
                <w:i w:val="0"/>
                <w:color w:val="000000"/>
                <w:sz w:val="17"/>
              </w:rPr>
              <w:t>Servidores, trabajos y registros usarán una referencia horaria consistente.</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UTC; desviación máxima entre componentes de 1 s.</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Pre/Op: verificación de sincronización y comparación de marcas de tiempo.</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RNF-MVP-009</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Percentiles y tasas. </w:t>
            </w:r>
            <w:r>
              <w:rPr>
                <w:rFonts w:ascii="Calibri" w:hAnsi="Calibri" w:eastAsia="Calibri"/>
                <w:b w:val="0"/>
                <w:i w:val="0"/>
                <w:color w:val="000000"/>
                <w:sz w:val="17"/>
              </w:rPr>
              <w:t>Ningún objetivo de rendimiento o confiabilidad se aprobará únicamente con promedios.</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Reportar como mínimo p75, p95, p99, tasa de error y tamaño de muestra cuando aplique.</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Pre/Op: plantilla de informe y validación automática de campos.</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RNF-MVP-010</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Control de excepciones. </w:t>
            </w:r>
            <w:r>
              <w:rPr>
                <w:rFonts w:ascii="Calibri" w:hAnsi="Calibri" w:eastAsia="Calibri"/>
                <w:b w:val="0"/>
                <w:i w:val="0"/>
                <w:color w:val="000000"/>
                <w:sz w:val="17"/>
              </w:rPr>
              <w:t>Una desviación no crítica requerirá aprobación formal y no cambiará silenciosamente la línea base.</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Excepción con responsable, riesgo, compensación y vencimiento máximo de 30 días; 0 excepciones para fallas críticas de seguridad, privacidad, integridad o accesibilidad del flujo esencial.</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Pre/Op: registro de excepciones y bloqueo automático de liberación.</w:t>
            </w:r>
          </w:p>
        </w:tc>
      </w:tr>
    </w:tbl>
    <w:p>
      <w:pPr>
        <w:pStyle w:val="SmallNote"/>
        <w:spacing w:after="40"/>
      </w:pPr>
    </w:p>
    <w:p>
      <w:pPr>
        <w:pStyle w:val="Heading1"/>
      </w:pPr>
      <w:r>
        <w:t>5. Rendimiento y sincronización</w:t>
      </w:r>
    </w:p>
    <w:p>
      <w:pPr>
        <w:keepNext/>
      </w:pPr>
      <w:r>
        <w:t>Garantizar que la experiencia de búsqueda, reproducción educativa, consulta lingüística, práctica y guardado responda con fluidez bajo la carga de referencia.</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700"/>
        <w:gridCol w:w="7660"/>
      </w:tblGrid>
      <w:tr>
        <w:trPr>
          <w:tblHeader w:val="true"/>
          <w:cantSplit/>
        </w:trPr>
        <w:tc>
          <w:tcPr>
            <w:tcW w:type="dxa" w:w="17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Trazabilidad</w:t>
            </w:r>
          </w:p>
        </w:tc>
        <w:tc>
          <w:tcPr>
            <w:tcW w:type="dxa" w:w="76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Cobertura</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7"/>
              </w:rPr>
              <w:t>Módulos</w:t>
            </w:r>
          </w:p>
        </w:tc>
        <w:tc>
          <w:tcPr>
            <w:tcW w:type="dxa" w:w="7660"/>
            <w:tcMar>
              <w:top w:w="80" w:type="dxa"/>
              <w:start w:w="120" w:type="dxa"/>
              <w:bottom w:w="80" w:type="dxa"/>
              <w:end w:w="120" w:type="dxa"/>
            </w:tcMar>
            <w:vAlign w:val="center"/>
          </w:tcPr>
          <w:p>
            <w:pPr>
              <w:pStyle w:val="TableText"/>
            </w:pPr>
            <w:r/>
            <w:r>
              <w:rPr>
                <w:rFonts w:ascii="Calibri" w:hAnsi="Calibri" w:eastAsia="Calibri"/>
                <w:b w:val="0"/>
                <w:i w:val="0"/>
                <w:color w:val="000000"/>
                <w:sz w:val="17"/>
              </w:rPr>
              <w:t>M01-M09, M15, M18 y M19</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7"/>
              </w:rPr>
              <w:t>Criterios y flujos</w:t>
            </w:r>
          </w:p>
        </w:tc>
        <w:tc>
          <w:tcPr>
            <w:tcW w:type="dxa" w:w="7660"/>
            <w:tcMar>
              <w:top w:w="80" w:type="dxa"/>
              <w:start w:w="120" w:type="dxa"/>
              <w:bottom w:w="80" w:type="dxa"/>
              <w:end w:w="120" w:type="dxa"/>
            </w:tcMar>
            <w:vAlign w:val="center"/>
          </w:tcPr>
          <w:p>
            <w:pPr>
              <w:pStyle w:val="TableText"/>
            </w:pPr>
            <w:r/>
            <w:r>
              <w:rPr>
                <w:rFonts w:ascii="Calibri" w:hAnsi="Calibri" w:eastAsia="Calibri"/>
                <w:b w:val="0"/>
                <w:i w:val="0"/>
                <w:color w:val="000000"/>
                <w:sz w:val="17"/>
              </w:rPr>
              <w:t>CE-01 a CE-09, CE-12 y CE-13; F01 a F09</w:t>
            </w:r>
          </w:p>
        </w:tc>
      </w:tr>
    </w:tbl>
    <w:p>
      <w:pPr>
        <w:pStyle w:val="SmallNote"/>
        <w:spacing w:after="40"/>
      </w:pP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900"/>
        <w:gridCol w:w="3400"/>
        <w:gridCol w:w="2600"/>
        <w:gridCol w:w="2460"/>
      </w:tblGrid>
      <w:tr>
        <w:trPr>
          <w:tblHeader w:val="true"/>
          <w:cantSplit/>
        </w:trPr>
        <w:tc>
          <w:tcPr>
            <w:tcW w:type="dxa" w:w="90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ID</w:t>
            </w:r>
          </w:p>
        </w:tc>
        <w:tc>
          <w:tcPr>
            <w:tcW w:type="dxa" w:w="340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Requisito</w:t>
            </w:r>
          </w:p>
        </w:tc>
        <w:tc>
          <w:tcPr>
            <w:tcW w:type="dxa" w:w="260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Métrica y umbral</w:t>
            </w:r>
          </w:p>
        </w:tc>
        <w:tc>
          <w:tcPr>
            <w:tcW w:type="dxa" w:w="246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Verificación y evidencia</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RNF-MVP-011</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Carga visual principal. </w:t>
            </w:r>
            <w:r>
              <w:rPr>
                <w:rFonts w:ascii="Calibri" w:hAnsi="Calibri" w:eastAsia="Calibri"/>
                <w:b w:val="0"/>
                <w:i w:val="0"/>
                <w:color w:val="000000"/>
                <w:sz w:val="17"/>
              </w:rPr>
              <w:t>Las páginas esenciales alcanzarán el umbral bueno de Largest Contentful Paint.</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LCP &lt;= 2,5 s en al menos el percentil 75 de visitas elegibles.</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Pre/Op: medición de campo; laboratorio equivalente mientras no exista muestra real.</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RNF-MVP-012</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Respuesta a interacción. </w:t>
            </w:r>
            <w:r>
              <w:rPr>
                <w:rFonts w:ascii="Calibri" w:hAnsi="Calibri" w:eastAsia="Calibri"/>
                <w:b w:val="0"/>
                <w:i w:val="0"/>
                <w:color w:val="000000"/>
                <w:sz w:val="17"/>
              </w:rPr>
              <w:t>Las páginas esenciales alcanzarán el umbral bueno de Interaction to Next Paint.</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INP &lt;= 200 ms en al menos el percentil 75.</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Pre/Op: RUM y prueba interactiva de los flujos CE.</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RNF-MVP-013</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Estabilidad visual. </w:t>
            </w:r>
            <w:r>
              <w:rPr>
                <w:rFonts w:ascii="Calibri" w:hAnsi="Calibri" w:eastAsia="Calibri"/>
                <w:b w:val="0"/>
                <w:i w:val="0"/>
                <w:color w:val="000000"/>
                <w:sz w:val="17"/>
              </w:rPr>
              <w:t>La carga, el cambio de línea y la aparición del reproductor no provocarán desplazamientos inesperados.</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CLS &lt;= 0,10 en al menos el percentil 75.</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Pre/Op: RUM y prueba sintética con reproductor reservado.</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RNF-MVP-014</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Tiempo al primer byte. </w:t>
            </w:r>
            <w:r>
              <w:rPr>
                <w:rFonts w:ascii="Calibri" w:hAnsi="Calibri" w:eastAsia="Calibri"/>
                <w:b w:val="0"/>
                <w:i w:val="0"/>
                <w:color w:val="000000"/>
                <w:sz w:val="17"/>
              </w:rPr>
              <w:t>Las respuestas HTML o equivalentes del sistema llegarán dentro de un límite controlado.</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TTFB interno p95 &lt;= 800 ms bajo carga de referencia.</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prueba sintética desde el perfil de red definido.</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RNF-MVP-015</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Lecturas de API. </w:t>
            </w:r>
            <w:r>
              <w:rPr>
                <w:rFonts w:ascii="Calibri" w:hAnsi="Calibri" w:eastAsia="Calibri"/>
                <w:b w:val="0"/>
                <w:i w:val="0"/>
                <w:color w:val="000000"/>
                <w:sz w:val="17"/>
              </w:rPr>
              <w:t>Las consultas autenticadas y públicas del dominio responderán sin incluir la latencia de YouTube.</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p95 &lt;= 500 ms y p99 &lt;= 1.500 ms.</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Pre/Op: prueba de carga por endpoint y panel de latencia.</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RNF-MVP-016</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Escrituras de API. </w:t>
            </w:r>
            <w:r>
              <w:rPr>
                <w:rFonts w:ascii="Calibri" w:hAnsi="Calibri" w:eastAsia="Calibri"/>
                <w:b w:val="0"/>
                <w:i w:val="0"/>
                <w:color w:val="000000"/>
                <w:sz w:val="17"/>
              </w:rPr>
              <w:t>Las operaciones de guardado confirmarán el resultado en un tiempo predecible.</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p95 &lt;= 800 ms y p99 &lt;= 2.000 ms.</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Pre/Op: carga sobre intentos, progreso, preferencias y edición.</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RNF-MVP-017</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Búsqueda del catálogo. </w:t>
            </w:r>
            <w:r>
              <w:rPr>
                <w:rFonts w:ascii="Calibri" w:hAnsi="Calibri" w:eastAsia="Calibri"/>
                <w:b w:val="0"/>
                <w:i w:val="0"/>
                <w:color w:val="000000"/>
                <w:sz w:val="17"/>
              </w:rPr>
              <w:t>La búsqueda interna devolverá resultados sobre el conjunto nominal sin depender de servicios externos.</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p95 &lt;= 1.000 ms y p99 &lt;= 2.000 ms para 5.000 canciones.</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prueba con consultas frecuentes, parciales y sin resultado.</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RNF-MVP-018</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Apertura de canción. </w:t>
            </w:r>
            <w:r>
              <w:rPr>
                <w:rFonts w:ascii="Calibri" w:hAnsi="Calibri" w:eastAsia="Calibri"/>
                <w:b w:val="0"/>
                <w:i w:val="0"/>
                <w:color w:val="000000"/>
                <w:sz w:val="17"/>
              </w:rPr>
              <w:t>La ficha educativa estará disponible antes de que el usuario deba esperar por el video.</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Contenido propio visible p95 &lt;= 1.500 ms; se excluye la preparación interna del player.</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Pre/Op: navegación sintética desde resultados de búsqueda.</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RNF-MVP-019</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Cambio de ayudas. </w:t>
            </w:r>
            <w:r>
              <w:rPr>
                <w:rFonts w:ascii="Calibri" w:hAnsi="Calibri" w:eastAsia="Calibri"/>
                <w:b w:val="0"/>
                <w:i w:val="0"/>
                <w:color w:val="000000"/>
                <w:sz w:val="17"/>
              </w:rPr>
              <w:t>Activar o desactivar furigana, romaji, traducción y análisis no bloqueará la interfaz.</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Respuesta visual p95 &lt;= 200 ms sin solicitud remota innecesaria.</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medición de interacción sobre una canción de tamaño máximo.</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RNF-MVP-020</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Evaluación de ejercicio. </w:t>
            </w:r>
            <w:r>
              <w:rPr>
                <w:rFonts w:ascii="Calibri" w:hAnsi="Calibri" w:eastAsia="Calibri"/>
                <w:b w:val="0"/>
                <w:i w:val="0"/>
                <w:color w:val="000000"/>
                <w:sz w:val="17"/>
              </w:rPr>
              <w:t>La corrección y retroalimentación de una respuesta se mostrarán con rapidez.</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p95 &lt;= 750 ms desde el envío hasta la retroalimentación.</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Pre/Op: prueba de ejercicios válidos, inválidos y repetidos.</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RNF-MVP-021</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Persistencia de progreso. </w:t>
            </w:r>
            <w:r>
              <w:rPr>
                <w:rFonts w:ascii="Calibri" w:hAnsi="Calibri" w:eastAsia="Calibri"/>
                <w:b w:val="0"/>
                <w:i w:val="0"/>
                <w:color w:val="000000"/>
                <w:sz w:val="17"/>
              </w:rPr>
              <w:t>Una evidencia confirmada recibirá acuse y quedará durable sin demoras ambiguas.</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Acuse p95 &lt;= 1 s; durabilidad verificable &lt;= 2 s.</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prueba transaccional con reinicio inmediato del proceso.</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RNF-MVP-022</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Reanudación. </w:t>
            </w:r>
            <w:r>
              <w:rPr>
                <w:rFonts w:ascii="Calibri" w:hAnsi="Calibri" w:eastAsia="Calibri"/>
                <w:b w:val="0"/>
                <w:i w:val="0"/>
                <w:color w:val="000000"/>
                <w:sz w:val="17"/>
              </w:rPr>
              <w:t>El estado confirmado de la canción se recuperará después de cerrar y volver.</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Preferencias, respuestas y punto de reanudación disponibles p95 &lt;= 2 s después de autenticar.</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prueba de continuidad CE-08 en dos sesiones.</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RNF-MVP-023</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Desfase de letra. </w:t>
            </w:r>
            <w:r>
              <w:rPr>
                <w:rFonts w:ascii="Calibri" w:hAnsi="Calibri" w:eastAsia="Calibri"/>
                <w:b w:val="0"/>
                <w:i w:val="0"/>
                <w:color w:val="000000"/>
                <w:sz w:val="17"/>
              </w:rPr>
              <w:t>La línea resaltada respetará la línea de tiempo editorial publicada.</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Desfase absoluto p95 &lt;= 250 ms y máximo &lt;= 500 ms en la canción patrón.</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reproducción instrumentada con marcas conocidas.</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RNF-MVP-024</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Resincronización. </w:t>
            </w:r>
            <w:r>
              <w:rPr>
                <w:rFonts w:ascii="Calibri" w:hAnsi="Calibri" w:eastAsia="Calibri"/>
                <w:b w:val="0"/>
                <w:i w:val="0"/>
                <w:color w:val="000000"/>
                <w:sz w:val="17"/>
              </w:rPr>
              <w:t>Después de buscar, pausar o reanudar, la línea activa se corregirá con rapidez.</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p95 &lt;= 300 ms desde el evento confirmado del player.</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100 operaciones de seek, pausa y reanudación.</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RNF-MVP-025</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Publicación editorial. </w:t>
            </w:r>
            <w:r>
              <w:rPr>
                <w:rFonts w:ascii="Calibri" w:hAnsi="Calibri" w:eastAsia="Calibri"/>
                <w:b w:val="0"/>
                <w:i w:val="0"/>
                <w:color w:val="000000"/>
                <w:sz w:val="17"/>
              </w:rPr>
              <w:t>Publicar una revisión no dejará al editor esperando ni generará estados parciales.</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p95 &lt;= 2 s para hasta 300 líneas, 3.000 tokens y 100 preguntas; confirmación atómica.</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prueba de publicación, conflicto y reversión.</w:t>
            </w:r>
          </w:p>
        </w:tc>
      </w:tr>
    </w:tbl>
    <w:p>
      <w:pPr>
        <w:pStyle w:val="SmallNote"/>
        <w:spacing w:after="40"/>
      </w:pPr>
    </w:p>
    <w:p>
      <w:pPr>
        <w:pStyle w:val="Heading1"/>
      </w:pPr>
      <w:r>
        <w:t>6. Disponibilidad, confiabilidad y degradación</w:t>
      </w:r>
    </w:p>
    <w:p>
      <w:pPr>
        <w:keepNext/>
      </w:pPr>
      <w:r>
        <w:t>Mantener operativo el recorrido principal, evitar pérdidas y responder de forma controlada ante fallas internas o del reproductor externo.</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700"/>
        <w:gridCol w:w="7660"/>
      </w:tblGrid>
      <w:tr>
        <w:trPr>
          <w:tblHeader w:val="true"/>
          <w:cantSplit/>
        </w:trPr>
        <w:tc>
          <w:tcPr>
            <w:tcW w:type="dxa" w:w="17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Trazabilidad</w:t>
            </w:r>
          </w:p>
        </w:tc>
        <w:tc>
          <w:tcPr>
            <w:tcW w:type="dxa" w:w="76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Cobertura</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7"/>
              </w:rPr>
              <w:t>Módulos</w:t>
            </w:r>
          </w:p>
        </w:tc>
        <w:tc>
          <w:tcPr>
            <w:tcW w:type="dxa" w:w="7660"/>
            <w:tcMar>
              <w:top w:w="80" w:type="dxa"/>
              <w:start w:w="120" w:type="dxa"/>
              <w:bottom w:w="80" w:type="dxa"/>
              <w:end w:w="120" w:type="dxa"/>
            </w:tcMar>
            <w:vAlign w:val="center"/>
          </w:tcPr>
          <w:p>
            <w:pPr>
              <w:pStyle w:val="TableText"/>
            </w:pPr>
            <w:r/>
            <w:r>
              <w:rPr>
                <w:rFonts w:ascii="Calibri" w:hAnsi="Calibri" w:eastAsia="Calibri"/>
                <w:b w:val="0"/>
                <w:i w:val="0"/>
                <w:color w:val="000000"/>
                <w:sz w:val="17"/>
              </w:rPr>
              <w:t>M01-M09, M15, M18 y M19</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7"/>
              </w:rPr>
              <w:t>Criterios y flujos</w:t>
            </w:r>
          </w:p>
        </w:tc>
        <w:tc>
          <w:tcPr>
            <w:tcW w:type="dxa" w:w="7660"/>
            <w:tcMar>
              <w:top w:w="80" w:type="dxa"/>
              <w:start w:w="120" w:type="dxa"/>
              <w:bottom w:w="80" w:type="dxa"/>
              <w:end w:w="120" w:type="dxa"/>
            </w:tcMar>
            <w:vAlign w:val="center"/>
          </w:tcPr>
          <w:p>
            <w:pPr>
              <w:pStyle w:val="TableText"/>
            </w:pPr>
            <w:r/>
            <w:r>
              <w:rPr>
                <w:rFonts w:ascii="Calibri" w:hAnsi="Calibri" w:eastAsia="Calibri"/>
                <w:b w:val="0"/>
                <w:i w:val="0"/>
                <w:color w:val="000000"/>
                <w:sz w:val="17"/>
              </w:rPr>
              <w:t>CE-01 a CE-14; F01 a F10</w:t>
            </w:r>
          </w:p>
        </w:tc>
      </w:tr>
    </w:tbl>
    <w:p>
      <w:pPr>
        <w:pStyle w:val="SmallNote"/>
        <w:spacing w:after="40"/>
      </w:pP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900"/>
        <w:gridCol w:w="3400"/>
        <w:gridCol w:w="2600"/>
        <w:gridCol w:w="2460"/>
      </w:tblGrid>
      <w:tr>
        <w:trPr>
          <w:tblHeader w:val="true"/>
          <w:cantSplit/>
        </w:trPr>
        <w:tc>
          <w:tcPr>
            <w:tcW w:type="dxa" w:w="90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ID</w:t>
            </w:r>
          </w:p>
        </w:tc>
        <w:tc>
          <w:tcPr>
            <w:tcW w:type="dxa" w:w="340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Requisito</w:t>
            </w:r>
          </w:p>
        </w:tc>
        <w:tc>
          <w:tcPr>
            <w:tcW w:type="dxa" w:w="260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Métrica y umbral</w:t>
            </w:r>
          </w:p>
        </w:tc>
        <w:tc>
          <w:tcPr>
            <w:tcW w:type="dxa" w:w="246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Verificación y evidencia</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RNF-MVP-026</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Disponibilidad mensual. </w:t>
            </w:r>
            <w:r>
              <w:rPr>
                <w:rFonts w:ascii="Calibri" w:hAnsi="Calibri" w:eastAsia="Calibri"/>
                <w:b w:val="0"/>
                <w:i w:val="0"/>
                <w:color w:val="000000"/>
                <w:sz w:val="17"/>
              </w:rPr>
              <w:t>La aplicación y sus servicios propios permanecerán disponibles para las operaciones esenciales.</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&gt;= 99,5 % por mes, sin contar mantenimiento planificado dentro del límite definido.</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Op: monitor sintético y cálculo mensual del SLO.</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RNF-MVP-027</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Duración de incidente. </w:t>
            </w:r>
            <w:r>
              <w:rPr>
                <w:rFonts w:ascii="Calibri" w:hAnsi="Calibri" w:eastAsia="Calibri"/>
                <w:b w:val="0"/>
                <w:i w:val="0"/>
                <w:color w:val="000000"/>
                <w:sz w:val="17"/>
              </w:rPr>
              <w:t>Una interrupción interna crítica no permanecerá sin recuperación indefinida.</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Ninguna indisponibilidad continua P1 superior a 60 min.</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Op: bitácora de incidentes y línea de tiempo.</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RNF-MVP-028</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Mantenimiento planificado. </w:t>
            </w:r>
            <w:r>
              <w:rPr>
                <w:rFonts w:ascii="Calibri" w:hAnsi="Calibri" w:eastAsia="Calibri"/>
                <w:b w:val="0"/>
                <w:i w:val="0"/>
                <w:color w:val="000000"/>
                <w:sz w:val="17"/>
              </w:rPr>
              <w:t>Las ventanas planificadas serán breves, anunciadas y cuantificables.</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&lt;= 2 h/mes, aviso &gt;= 24 h y página de estado visible.</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Op: calendario, aviso y medición de ventana.</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RNF-MVP-029</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Éxito transaccional. </w:t>
            </w:r>
            <w:r>
              <w:rPr>
                <w:rFonts w:ascii="Calibri" w:hAnsi="Calibri" w:eastAsia="Calibri"/>
                <w:b w:val="0"/>
                <w:i w:val="0"/>
                <w:color w:val="000000"/>
                <w:sz w:val="17"/>
              </w:rPr>
              <w:t>Las operaciones esenciales finalizarán correctamente bajo la carga nominal.</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&gt;= 99,5 % de registro, login, búsqueda, guardado, evaluación y publicación válidos.</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Pre/Op: pruebas de carga y métricas por operación.</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RNF-MVP-030</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Errores de servidor. </w:t>
            </w:r>
            <w:r>
              <w:rPr>
                <w:rFonts w:ascii="Calibri" w:hAnsi="Calibri" w:eastAsia="Calibri"/>
                <w:b w:val="0"/>
                <w:i w:val="0"/>
                <w:color w:val="000000"/>
                <w:sz w:val="17"/>
              </w:rPr>
              <w:t>Las respuestas 5xx se mantendrán dentro del presupuesto de error.</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&lt; 1 % en cualquier ventana de 5 min y &lt; 0,5 % mensual.</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Pre/Op: panel, alerta y reporte mensual.</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RNF-MVP-031</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Reintentos seguros. </w:t>
            </w:r>
            <w:r>
              <w:rPr>
                <w:rFonts w:ascii="Calibri" w:hAnsi="Calibri" w:eastAsia="Calibri"/>
                <w:b w:val="0"/>
                <w:i w:val="0"/>
                <w:color w:val="000000"/>
                <w:sz w:val="17"/>
              </w:rPr>
              <w:t>Las fallas transitorias usarán reintentos limitados sin multiplicar efectos.</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Máximo 3 intentos con retroceso exponencial y jitter; 0 efectos duplicados.</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inyección de timeout y revisión de idempotencia.</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RNF-MVP-032</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Durabilidad de escritura. </w:t>
            </w:r>
            <w:r>
              <w:rPr>
                <w:rFonts w:ascii="Calibri" w:hAnsi="Calibri" w:eastAsia="Calibri"/>
                <w:b w:val="0"/>
                <w:i w:val="0"/>
                <w:color w:val="000000"/>
                <w:sz w:val="17"/>
              </w:rPr>
              <w:t>Una operación confirmada no se perderá por reinicio abrupto de un proceso.</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0 pérdidas en 1.000 escrituras confirmadas sometidas a reinicio controlado.</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prueba de fallas y reconciliación de datos.</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RNF-MVP-033</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Falla del reproductor. </w:t>
            </w:r>
            <w:r>
              <w:rPr>
                <w:rFonts w:ascii="Calibri" w:hAnsi="Calibri" w:eastAsia="Calibri"/>
                <w:b w:val="0"/>
                <w:i w:val="0"/>
                <w:color w:val="000000"/>
                <w:sz w:val="17"/>
              </w:rPr>
              <w:t>La indisponibilidad de YouTube no bloqueará letra, traducción, análisis ni navegación.</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Mensaje y contenido propio utilizables &lt;= 2 s después del error del player.</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Pre/Op: simulación de bloqueo de dominios de YouTube.</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RNF-MVP-034</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Estado de edición. </w:t>
            </w:r>
            <w:r>
              <w:rPr>
                <w:rFonts w:ascii="Calibri" w:hAnsi="Calibri" w:eastAsia="Calibri"/>
                <w:b w:val="0"/>
                <w:i w:val="0"/>
                <w:color w:val="000000"/>
                <w:sz w:val="17"/>
              </w:rPr>
              <w:t>El trabajo editorial en curso tendrá recuperación ante cierre inesperado.</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Autoguardado de borrador &lt;= 30 s y recuperación de la última versión guardada en el 100 % de 50 pruebas.</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cierre forzado del navegador y del servicio.</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RNF-MVP-035</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Idempotencia funcional. </w:t>
            </w:r>
            <w:r>
              <w:rPr>
                <w:rFonts w:ascii="Calibri" w:hAnsi="Calibri" w:eastAsia="Calibri"/>
                <w:b w:val="0"/>
                <w:i w:val="0"/>
                <w:color w:val="000000"/>
                <w:sz w:val="17"/>
              </w:rPr>
              <w:t>Repetir una solicitud por timeout no duplicará intentos, progreso, publicación ni auditoría lógica.</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0 duplicados en 1.000 repeticiones por tipo de operación crítica.</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prueba con la misma clave de idempotencia.</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RNF-MVP-036</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Apagado controlado. </w:t>
            </w:r>
            <w:r>
              <w:rPr>
                <w:rFonts w:ascii="Calibri" w:hAnsi="Calibri" w:eastAsia="Calibri"/>
                <w:b w:val="0"/>
                <w:i w:val="0"/>
                <w:color w:val="000000"/>
                <w:sz w:val="17"/>
              </w:rPr>
              <w:t>Un despliegue o reinicio drenará las solicitudes ya aceptadas.</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Drenaje &lt;= 60 s y 0 solicitudes confirmadas perdidas.</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prueba durante carga sostenida.</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RNF-MVP-037</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Recuperación de dependencia interna. </w:t>
            </w:r>
            <w:r>
              <w:rPr>
                <w:rFonts w:ascii="Calibri" w:hAnsi="Calibri" w:eastAsia="Calibri"/>
                <w:b w:val="0"/>
                <w:i w:val="0"/>
                <w:color w:val="000000"/>
                <w:sz w:val="17"/>
              </w:rPr>
              <w:t>Al recuperarse una base, cola o caché, el sistema volverá al estado estable sin intervención en datos.</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SLO restablecido &lt;= 5 min y 0 corrupción u operaciones huérfanas.</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prueba de recuperación por dependencia.</w:t>
            </w:r>
          </w:p>
        </w:tc>
      </w:tr>
    </w:tbl>
    <w:p>
      <w:pPr>
        <w:pStyle w:val="SmallNote"/>
        <w:spacing w:after="40"/>
      </w:pPr>
    </w:p>
    <w:p>
      <w:pPr>
        <w:pStyle w:val="Heading1"/>
      </w:pPr>
      <w:r>
        <w:t>7. Capacidad y escalabilidad</w:t>
      </w:r>
    </w:p>
    <w:p>
      <w:pPr>
        <w:keepNext/>
      </w:pPr>
      <w:r>
        <w:t>Probar que el MVP soporta el piloto y un crecimiento razonable sin rediseñar las entidades canónicas ni degradar los objetivos críticos.</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700"/>
        <w:gridCol w:w="7660"/>
      </w:tblGrid>
      <w:tr>
        <w:trPr>
          <w:tblHeader w:val="true"/>
          <w:cantSplit/>
        </w:trPr>
        <w:tc>
          <w:tcPr>
            <w:tcW w:type="dxa" w:w="17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Trazabilidad</w:t>
            </w:r>
          </w:p>
        </w:tc>
        <w:tc>
          <w:tcPr>
            <w:tcW w:type="dxa" w:w="76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Cobertura</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7"/>
              </w:rPr>
              <w:t>Módulos</w:t>
            </w:r>
          </w:p>
        </w:tc>
        <w:tc>
          <w:tcPr>
            <w:tcW w:type="dxa" w:w="7660"/>
            <w:tcMar>
              <w:top w:w="80" w:type="dxa"/>
              <w:start w:w="120" w:type="dxa"/>
              <w:bottom w:w="80" w:type="dxa"/>
              <w:end w:w="120" w:type="dxa"/>
            </w:tcMar>
            <w:vAlign w:val="center"/>
          </w:tcPr>
          <w:p>
            <w:pPr>
              <w:pStyle w:val="TableText"/>
            </w:pPr>
            <w:r/>
            <w:r>
              <w:rPr>
                <w:rFonts w:ascii="Calibri" w:hAnsi="Calibri" w:eastAsia="Calibri"/>
                <w:b w:val="0"/>
                <w:i w:val="0"/>
                <w:color w:val="000000"/>
                <w:sz w:val="17"/>
              </w:rPr>
              <w:t>M01-M09, M15, M18 y M19</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7"/>
              </w:rPr>
              <w:t>Criterios y flujos</w:t>
            </w:r>
          </w:p>
        </w:tc>
        <w:tc>
          <w:tcPr>
            <w:tcW w:type="dxa" w:w="7660"/>
            <w:tcMar>
              <w:top w:w="80" w:type="dxa"/>
              <w:start w:w="120" w:type="dxa"/>
              <w:bottom w:w="80" w:type="dxa"/>
              <w:end w:w="120" w:type="dxa"/>
            </w:tcMar>
            <w:vAlign w:val="center"/>
          </w:tcPr>
          <w:p>
            <w:pPr>
              <w:pStyle w:val="TableText"/>
            </w:pPr>
            <w:r/>
            <w:r>
              <w:rPr>
                <w:rFonts w:ascii="Calibri" w:hAnsi="Calibri" w:eastAsia="Calibri"/>
                <w:b w:val="0"/>
                <w:i w:val="0"/>
                <w:color w:val="000000"/>
                <w:sz w:val="17"/>
              </w:rPr>
              <w:t>CE-01 a CE-14; F01 a F10</w:t>
            </w:r>
          </w:p>
        </w:tc>
      </w:tr>
    </w:tbl>
    <w:p>
      <w:pPr>
        <w:pStyle w:val="SmallNote"/>
        <w:spacing w:after="40"/>
      </w:pP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900"/>
        <w:gridCol w:w="3400"/>
        <w:gridCol w:w="2600"/>
        <w:gridCol w:w="2460"/>
      </w:tblGrid>
      <w:tr>
        <w:trPr>
          <w:tblHeader w:val="true"/>
          <w:cantSplit/>
        </w:trPr>
        <w:tc>
          <w:tcPr>
            <w:tcW w:type="dxa" w:w="90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ID</w:t>
            </w:r>
          </w:p>
        </w:tc>
        <w:tc>
          <w:tcPr>
            <w:tcW w:type="dxa" w:w="340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Requisito</w:t>
            </w:r>
          </w:p>
        </w:tc>
        <w:tc>
          <w:tcPr>
            <w:tcW w:type="dxa" w:w="260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Métrica y umbral</w:t>
            </w:r>
          </w:p>
        </w:tc>
        <w:tc>
          <w:tcPr>
            <w:tcW w:type="dxa" w:w="246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Verificación y evidencia</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RNF-MVP-038</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Carga nominal. </w:t>
            </w:r>
            <w:r>
              <w:rPr>
                <w:rFonts w:ascii="Calibri" w:hAnsi="Calibri" w:eastAsia="Calibri"/>
                <w:b w:val="0"/>
                <w:i w:val="0"/>
                <w:color w:val="000000"/>
                <w:sz w:val="17"/>
              </w:rPr>
              <w:t>El sistema cumplirá los RNF de rendimiento con la carga de referencia completa.</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100 usuarios activos y 20 solicitudes/s durante 30 min; 0 umbrales REN incumplidos.</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prueba de carga integrada con datos nominales.</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RNF-MVP-039</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Ráfaga. </w:t>
            </w:r>
            <w:r>
              <w:rPr>
                <w:rFonts w:ascii="Calibri" w:hAnsi="Calibri" w:eastAsia="Calibri"/>
                <w:b w:val="0"/>
                <w:i w:val="0"/>
                <w:color w:val="000000"/>
                <w:sz w:val="17"/>
              </w:rPr>
              <w:t>El sistema absorberá una demanda breve tres veces superior sin colapsar.</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60 solicitudes/s durante 2 min; error &lt; 2 % y recuperación del SLO &lt;= 5 min.</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prueba de ráfaga y curva de recuperación.</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RNF-MVP-040</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Volumen nominal. </w:t>
            </w:r>
            <w:r>
              <w:rPr>
                <w:rFonts w:ascii="Calibri" w:hAnsi="Calibri" w:eastAsia="Calibri"/>
                <w:b w:val="0"/>
                <w:i w:val="0"/>
                <w:color w:val="000000"/>
                <w:sz w:val="17"/>
              </w:rPr>
              <w:t>Las funciones esenciales conservarán comportamiento con el conjunto de datos de referencia.</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5.000 canciones, 50.000 cuentas, 2 millones de evidencias y 5 millones de tokens.</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carga completa y consultas representativas.</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RNF-MVP-041</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Crecimiento de datos. </w:t>
            </w:r>
            <w:r>
              <w:rPr>
                <w:rFonts w:ascii="Calibri" w:hAnsi="Calibri" w:eastAsia="Calibri"/>
                <w:b w:val="0"/>
                <w:i w:val="0"/>
                <w:color w:val="000000"/>
                <w:sz w:val="17"/>
              </w:rPr>
              <w:t>Triplicar el conjunto nominal no provocará una degradación descontrolada.</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Aumento de latencia p95 &lt;= 25 % frente al conjunto nominal.</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prueba comparativa con conjunto 3x.</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RNF-MVP-042</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Crecimiento de concurrencia. </w:t>
            </w:r>
            <w:r>
              <w:rPr>
                <w:rFonts w:ascii="Calibri" w:hAnsi="Calibri" w:eastAsia="Calibri"/>
                <w:b w:val="0"/>
                <w:i w:val="0"/>
                <w:color w:val="000000"/>
                <w:sz w:val="17"/>
              </w:rPr>
              <w:t>La arquitectura permitirá aumentar capacidad sin cambiar el modelo canónico.</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300 usuarios activos mediante configuración o escalamiento; sin cambio de esquema para lograrlo.</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prueba técnica y revisión de arquitectura.</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RNF-MVP-043</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Trabajos en segundo plano. </w:t>
            </w:r>
            <w:r>
              <w:rPr>
                <w:rFonts w:ascii="Calibri" w:hAnsi="Calibri" w:eastAsia="Calibri"/>
                <w:b w:val="0"/>
                <w:i w:val="0"/>
                <w:color w:val="000000"/>
                <w:sz w:val="17"/>
              </w:rPr>
              <w:t>Procesos de métricas, limpieza o indexación no desplazarán el tráfico interactivo.</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Uso &lt;= 25 % de la capacidad asignada y aumento de p95 interactivo &lt;= 20 %.</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Pre/Op: prueba concurrente y métricas de saturación.</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RNF-MVP-044</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Capacidad de almacenamiento. </w:t>
            </w:r>
            <w:r>
              <w:rPr>
                <w:rFonts w:ascii="Calibri" w:hAnsi="Calibri" w:eastAsia="Calibri"/>
                <w:b w:val="0"/>
                <w:i w:val="0"/>
                <w:color w:val="000000"/>
                <w:sz w:val="17"/>
              </w:rPr>
              <w:t>El agotamiento de almacenamiento se anticipará antes de afectar la escritura.</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Aviso al 70 %, alerta crítica al 85 % y pronóstico de 30 días.</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Op: alarma probada y reporte de crecimiento.</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RNF-MVP-045</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Regresión de capacidad. </w:t>
            </w:r>
            <w:r>
              <w:rPr>
                <w:rFonts w:ascii="Calibri" w:hAnsi="Calibri" w:eastAsia="Calibri"/>
                <w:b w:val="0"/>
                <w:i w:val="0"/>
                <w:color w:val="000000"/>
                <w:sz w:val="17"/>
              </w:rPr>
              <w:t>Los cambios relevantes repetirán la prueba de carga antes de liberarse.</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Obligatoria si cambia un flujo crítico, consulta principal o volumen esperado &gt;= 20 %.</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regla de CI/CD y evidencia vinculada al cambio.</w:t>
            </w:r>
          </w:p>
        </w:tc>
      </w:tr>
    </w:tbl>
    <w:p>
      <w:pPr>
        <w:pStyle w:val="SmallNote"/>
        <w:spacing w:after="40"/>
      </w:pPr>
    </w:p>
    <w:p>
      <w:pPr>
        <w:pStyle w:val="Heading1"/>
      </w:pPr>
      <w:r>
        <w:t>8. Seguridad de aplicación y acceso</w:t>
      </w:r>
    </w:p>
    <w:p>
      <w:pPr>
        <w:keepNext/>
      </w:pPr>
      <w:r>
        <w:t>Proteger identidad, sesiones, permisos, contenido editorial y datos educativos mediante controles verificables y una política de denegación por defecto.</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700"/>
        <w:gridCol w:w="7660"/>
      </w:tblGrid>
      <w:tr>
        <w:trPr>
          <w:tblHeader w:val="true"/>
          <w:cantSplit/>
        </w:trPr>
        <w:tc>
          <w:tcPr>
            <w:tcW w:type="dxa" w:w="17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Trazabilidad</w:t>
            </w:r>
          </w:p>
        </w:tc>
        <w:tc>
          <w:tcPr>
            <w:tcW w:type="dxa" w:w="76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Cobertura</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7"/>
              </w:rPr>
              <w:t>Módulos</w:t>
            </w:r>
          </w:p>
        </w:tc>
        <w:tc>
          <w:tcPr>
            <w:tcW w:type="dxa" w:w="7660"/>
            <w:tcMar>
              <w:top w:w="80" w:type="dxa"/>
              <w:start w:w="120" w:type="dxa"/>
              <w:bottom w:w="80" w:type="dxa"/>
              <w:end w:w="120" w:type="dxa"/>
            </w:tcMar>
            <w:vAlign w:val="center"/>
          </w:tcPr>
          <w:p>
            <w:pPr>
              <w:pStyle w:val="TableText"/>
            </w:pPr>
            <w:r/>
            <w:r>
              <w:rPr>
                <w:rFonts w:ascii="Calibri" w:hAnsi="Calibri" w:eastAsia="Calibri"/>
                <w:b w:val="0"/>
                <w:i w:val="0"/>
                <w:color w:val="000000"/>
                <w:sz w:val="17"/>
              </w:rPr>
              <w:t>M01, M15, M18 y M19; controles transversales sobre M02-M09</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7"/>
              </w:rPr>
              <w:t>Criterios y flujos</w:t>
            </w:r>
          </w:p>
        </w:tc>
        <w:tc>
          <w:tcPr>
            <w:tcW w:type="dxa" w:w="7660"/>
            <w:tcMar>
              <w:top w:w="80" w:type="dxa"/>
              <w:start w:w="120" w:type="dxa"/>
              <w:bottom w:w="80" w:type="dxa"/>
              <w:end w:w="120" w:type="dxa"/>
            </w:tcMar>
            <w:vAlign w:val="center"/>
          </w:tcPr>
          <w:p>
            <w:pPr>
              <w:pStyle w:val="TableText"/>
            </w:pPr>
            <w:r/>
            <w:r>
              <w:rPr>
                <w:rFonts w:ascii="Calibri" w:hAnsi="Calibri" w:eastAsia="Calibri"/>
                <w:b w:val="0"/>
                <w:i w:val="0"/>
                <w:color w:val="000000"/>
                <w:sz w:val="17"/>
              </w:rPr>
              <w:t>CE-01, CE-09, CE-10, CE-11 y CE-14; F01, F02 y F10</w:t>
            </w:r>
          </w:p>
        </w:tc>
      </w:tr>
    </w:tbl>
    <w:p>
      <w:pPr>
        <w:pStyle w:val="SmallNote"/>
        <w:spacing w:after="40"/>
      </w:pP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900"/>
        <w:gridCol w:w="3400"/>
        <w:gridCol w:w="2600"/>
        <w:gridCol w:w="2460"/>
      </w:tblGrid>
      <w:tr>
        <w:trPr>
          <w:tblHeader w:val="true"/>
          <w:cantSplit/>
        </w:trPr>
        <w:tc>
          <w:tcPr>
            <w:tcW w:type="dxa" w:w="90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ID</w:t>
            </w:r>
          </w:p>
        </w:tc>
        <w:tc>
          <w:tcPr>
            <w:tcW w:type="dxa" w:w="340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Requisito</w:t>
            </w:r>
          </w:p>
        </w:tc>
        <w:tc>
          <w:tcPr>
            <w:tcW w:type="dxa" w:w="260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Métrica y umbral</w:t>
            </w:r>
          </w:p>
        </w:tc>
        <w:tc>
          <w:tcPr>
            <w:tcW w:type="dxa" w:w="246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Verificación y evidencia</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RNF-MVP-046</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Línea base ASVS. </w:t>
            </w:r>
            <w:r>
              <w:rPr>
                <w:rFonts w:ascii="Calibri" w:hAnsi="Calibri" w:eastAsia="Calibri"/>
                <w:b w:val="0"/>
                <w:i w:val="0"/>
                <w:color w:val="000000"/>
                <w:sz w:val="17"/>
              </w:rPr>
              <w:t>La aplicación verificará los controles aplicables de OWASP ASVS 5.0.</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100 % de nivel 1 aplicable y controles de nivel 2 seleccionados para autenticación, sesión, acceso, criptografía, registros y protección de datos.</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matriz ASVS con aplicabilidad, prueba y resultado.</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RNF-MVP-047</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Transporte seguro. </w:t>
            </w:r>
            <w:r>
              <w:rPr>
                <w:rFonts w:ascii="Calibri" w:hAnsi="Calibri" w:eastAsia="Calibri"/>
                <w:b w:val="0"/>
                <w:i w:val="0"/>
                <w:color w:val="000000"/>
                <w:sz w:val="17"/>
              </w:rPr>
              <w:t>Todo tráfico autenticado y administrativo usará HTTPS.</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TLS &gt;= 1.2, redirección HTTP, HSTS &gt;= 180 días y 0 contenido mixto.</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Pre/Op: escaneo TLS, cabeceras y navegación automatizada.</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RNF-MVP-048</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Cifrado en reposo. </w:t>
            </w:r>
            <w:r>
              <w:rPr>
                <w:rFonts w:ascii="Calibri" w:hAnsi="Calibri" w:eastAsia="Calibri"/>
                <w:b w:val="0"/>
                <w:i w:val="0"/>
                <w:color w:val="000000"/>
                <w:sz w:val="17"/>
              </w:rPr>
              <w:t>Datos personales, credenciales técnicas y respaldos estarán cifrados en almacenamiento.</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100 % de almacenes y copias sensibles con cifrado fuerte administrado; claves separadas de los datos.</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inventario, configuración y prueba de acceso.</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RNF-MVP-049</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Contraseñas no reversibles. </w:t>
            </w:r>
            <w:r>
              <w:rPr>
                <w:rFonts w:ascii="Calibri" w:hAnsi="Calibri" w:eastAsia="Calibri"/>
                <w:b w:val="0"/>
                <w:i w:val="0"/>
                <w:color w:val="000000"/>
                <w:sz w:val="17"/>
              </w:rPr>
              <w:t>Las contraseñas nunca se almacenarán ni registrarán en texto claro o con cifrado reversible.</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0 contraseñas recuperables en base, respaldo, logs o trazas.</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inspección de esquema, código y registros.</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RNF-MVP-050</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Longitud de contraseña. </w:t>
            </w:r>
            <w:r>
              <w:rPr>
                <w:rFonts w:ascii="Calibri" w:hAnsi="Calibri" w:eastAsia="Calibri"/>
                <w:b w:val="0"/>
                <w:i w:val="0"/>
                <w:color w:val="000000"/>
                <w:sz w:val="17"/>
              </w:rPr>
              <w:t>Cuando la contraseña sea el único factor, seguirá la guía vigente de NIST.</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Mínimo 15 caracteres, máximo permitido &gt;= 64, espacios y Unicode aceptados, sin reglas de composición arbitrarias.</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pruebas de frontera y casos Unicode.</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RNF-MVP-051</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Contraseñas comprometidas. </w:t>
            </w:r>
            <w:r>
              <w:rPr>
                <w:rFonts w:ascii="Calibri" w:hAnsi="Calibri" w:eastAsia="Calibri"/>
                <w:b w:val="0"/>
                <w:i w:val="0"/>
                <w:color w:val="000000"/>
                <w:sz w:val="17"/>
              </w:rPr>
              <w:t>El sistema rechazará valores comunes o expuestos y no forzará cambios periódicos sin causa.</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Lista de bloqueo vigente; cambio obligatorio solo ante evidencia de compromiso o solicitud del usuario.</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casos de bloqueo y revisión de política.</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RNF-MVP-052</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Derivación de contraseña. </w:t>
            </w:r>
            <w:r>
              <w:rPr>
                <w:rFonts w:ascii="Calibri" w:hAnsi="Calibri" w:eastAsia="Calibri"/>
                <w:b w:val="0"/>
                <w:i w:val="0"/>
                <w:color w:val="000000"/>
                <w:sz w:val="17"/>
              </w:rPr>
              <w:t>El verificador utilizará una función de hash adaptativa y resistente a memoria.</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Parámetros aprobados al momento de implementar; verificación objetivo &gt;= 100 ms en la clase de servidor de producción.</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revisión criptográfica y benchmark documentado.</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RNF-MVP-053</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Limitación de login. </w:t>
            </w:r>
            <w:r>
              <w:rPr>
                <w:rFonts w:ascii="Calibri" w:hAnsi="Calibri" w:eastAsia="Calibri"/>
                <w:b w:val="0"/>
                <w:i w:val="0"/>
                <w:color w:val="000000"/>
                <w:sz w:val="17"/>
              </w:rPr>
              <w:t>Los intentos automatizados se limitarán sin crear bloqueo permanente explotable.</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5 fallos/cuenta/15 min y 20 fallos/IP/15 min como base configurable; recuperación automática y registro del evento.</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Pre/Op: prueba de abuso y alerta.</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RNF-MVP-054</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Recuperación de cuenta. </w:t>
            </w:r>
            <w:r>
              <w:rPr>
                <w:rFonts w:ascii="Calibri" w:hAnsi="Calibri" w:eastAsia="Calibri"/>
                <w:b w:val="0"/>
                <w:i w:val="0"/>
                <w:color w:val="000000"/>
                <w:sz w:val="17"/>
              </w:rPr>
              <w:t>Los tokens de recuperación serán breves, de un solo uso y revocables.</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Expiración &lt;= 30 min; un uso; invalidación de sesiones tras cambiar credencial.</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reutilización, expiración y revocación.</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RNF-MVP-055</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Sesión privilegiada. </w:t>
            </w:r>
            <w:r>
              <w:rPr>
                <w:rFonts w:ascii="Calibri" w:hAnsi="Calibri" w:eastAsia="Calibri"/>
                <w:b w:val="0"/>
                <w:i w:val="0"/>
                <w:color w:val="000000"/>
                <w:sz w:val="17"/>
              </w:rPr>
              <w:t>Las sesiones de editor, revisor y administrador reducirán exposición por inactividad.</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Inactividad &lt;= 15 min y duración absoluta &lt;= 8 h; reautenticación para acciones sensibles.</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pruebas de reloj, expiración y reautenticación.</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RNF-MVP-056</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Sesión de estudiante. </w:t>
            </w:r>
            <w:r>
              <w:rPr>
                <w:rFonts w:ascii="Calibri" w:hAnsi="Calibri" w:eastAsia="Calibri"/>
                <w:b w:val="0"/>
                <w:i w:val="0"/>
                <w:color w:val="000000"/>
                <w:sz w:val="17"/>
              </w:rPr>
              <w:t>La continuidad de uso no eliminará los controles de sesión.</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Inactividad &lt;= 12 h; renovación absoluta &lt;= 30 días; reautenticación para correo, contraseña y eliminación.</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pruebas de expiración y cambio sensible.</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RNF-MVP-057</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Cookies y CSRF. </w:t>
            </w:r>
            <w:r>
              <w:rPr>
                <w:rFonts w:ascii="Calibri" w:hAnsi="Calibri" w:eastAsia="Calibri"/>
                <w:b w:val="0"/>
                <w:i w:val="0"/>
                <w:color w:val="000000"/>
                <w:sz w:val="17"/>
              </w:rPr>
              <w:t>Las credenciales de sesión del navegador estarán protegidas frente a robo y solicitudes cruzadas.</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Secure, HttpOnly y SameSite=Lax o Strict; protección CSRF en 100 % de operaciones con estado.</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inspección de cookies y pruebas CSRF.</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RNF-MVP-058</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Autorización en servidor. </w:t>
            </w:r>
            <w:r>
              <w:rPr>
                <w:rFonts w:ascii="Calibri" w:hAnsi="Calibri" w:eastAsia="Calibri"/>
                <w:b w:val="0"/>
                <w:i w:val="0"/>
                <w:color w:val="000000"/>
                <w:sz w:val="17"/>
              </w:rPr>
              <w:t>La interfaz nunca será el único control de acceso.</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100 % de endpoints protegidos con autorización en servidor y denegación por defecto.</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matriz rol-endpoint y pruebas negativas.</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RNF-MVP-059</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Mínimo privilegio. </w:t>
            </w:r>
            <w:r>
              <w:rPr>
                <w:rFonts w:ascii="Calibri" w:hAnsi="Calibri" w:eastAsia="Calibri"/>
                <w:b w:val="0"/>
                <w:i w:val="0"/>
                <w:color w:val="000000"/>
                <w:sz w:val="17"/>
              </w:rPr>
              <w:t>Los roles de estudiante, editor, traductor/revisor y administrador tendrán permisos mínimos separados.</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0 permisos no justificados; revisión antes de liberar y trimestralmente.</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Pre/Op: exportación de permisos y aprobación del responsable.</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RNF-MVP-060</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Acceso directo a objetos. </w:t>
            </w:r>
            <w:r>
              <w:rPr>
                <w:rFonts w:ascii="Calibri" w:hAnsi="Calibri" w:eastAsia="Calibri"/>
                <w:b w:val="0"/>
                <w:i w:val="0"/>
                <w:color w:val="000000"/>
                <w:sz w:val="17"/>
              </w:rPr>
              <w:t>Cambiar identificadores no permitirá leer o modificar objetos ajenos.</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0 accesos indebidos para todos los tipos protegidos y todos los roles.</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batería IDOR/BOLA automatizada y manual.</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RNF-MVP-061</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Entrada y salida segura. </w:t>
            </w:r>
            <w:r>
              <w:rPr>
                <w:rFonts w:ascii="Calibri" w:hAnsi="Calibri" w:eastAsia="Calibri"/>
                <w:b w:val="0"/>
                <w:i w:val="0"/>
                <w:color w:val="000000"/>
                <w:sz w:val="17"/>
              </w:rPr>
              <w:t>Toda entrada no confiable se validará y toda salida contextual se codificará.</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100 % de fuentes cubiertas; consultas parametrizadas; 0 inyección confirmada.</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SAST, DAST y pruebas de inyección.</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RNF-MVP-062</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Política del navegador. </w:t>
            </w:r>
            <w:r>
              <w:rPr>
                <w:rFonts w:ascii="Calibri" w:hAnsi="Calibri" w:eastAsia="Calibri"/>
                <w:b w:val="0"/>
                <w:i w:val="0"/>
                <w:color w:val="000000"/>
                <w:sz w:val="17"/>
              </w:rPr>
              <w:t>La aplicación limitará scripts, marcos y orígenes permitidos.</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CSP sin unsafe-eval; frame-src restringido al reproductor autorizado; cabeceras de seguridad sin hallazgos altos.</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Pre/Op: escaneo de cabeceras y CSP.</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RNF-MVP-063</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Gestión de secretos. </w:t>
            </w:r>
            <w:r>
              <w:rPr>
                <w:rFonts w:ascii="Calibri" w:hAnsi="Calibri" w:eastAsia="Calibri"/>
                <w:b w:val="0"/>
                <w:i w:val="0"/>
                <w:color w:val="000000"/>
                <w:sz w:val="17"/>
              </w:rPr>
              <w:t>Claves, tokens y credenciales técnicas permanecerán fuera del código, cliente y registros.</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0 secretos en repositorio o artefactos; rotación por compromiso &lt;= 24 h.</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Pre/Op: escaneo de secretos y simulacro de rotación.</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RNF-MVP-064</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Eventos de seguridad. </w:t>
            </w:r>
            <w:r>
              <w:rPr>
                <w:rFonts w:ascii="Calibri" w:hAnsi="Calibri" w:eastAsia="Calibri"/>
                <w:b w:val="0"/>
                <w:i w:val="0"/>
                <w:color w:val="000000"/>
                <w:sz w:val="17"/>
              </w:rPr>
              <w:t>Autenticación, privilegios y acciones protegidas producirán evidencia.</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100 % de login, fallo, reset, cambio de rol, publicación, reversión y acceso administrativo registrados.</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ejecución de casos y comparación con auditoría.</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RNF-MVP-065</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Datos sensibles en transporte de aplicación. </w:t>
            </w:r>
            <w:r>
              <w:rPr>
                <w:rFonts w:ascii="Calibri" w:hAnsi="Calibri" w:eastAsia="Calibri"/>
                <w:b w:val="0"/>
                <w:i w:val="0"/>
                <w:color w:val="000000"/>
                <w:sz w:val="17"/>
              </w:rPr>
              <w:t>Los secretos y datos sensibles no viajarán en URL ni se almacenarán innecesariamente en el cliente.</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0 tokens, contraseñas o notas privadas en query strings, historial o almacenamiento no protegido.</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inspección de tráfico y almacenamiento del navegador.</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RNF-MVP-066</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Dependencias vulnerables. </w:t>
            </w:r>
            <w:r>
              <w:rPr>
                <w:rFonts w:ascii="Calibri" w:hAnsi="Calibri" w:eastAsia="Calibri"/>
                <w:b w:val="0"/>
                <w:i w:val="0"/>
                <w:color w:val="000000"/>
                <w:sz w:val="17"/>
              </w:rPr>
              <w:t>Las dependencias de producción se analizarán en cada compilación.</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0 vulnerabilidades conocidas críticas o altas sin corrección o mitigación aprobada antes de liberar.</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Pre/Cont: SCA y SBOM del artefacto.</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RNF-MVP-067</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Prueba ofensiva. </w:t>
            </w:r>
            <w:r>
              <w:rPr>
                <w:rFonts w:ascii="Calibri" w:hAnsi="Calibri" w:eastAsia="Calibri"/>
                <w:b w:val="0"/>
                <w:i w:val="0"/>
                <w:color w:val="000000"/>
                <w:sz w:val="17"/>
              </w:rPr>
              <w:t>El candidato a MVP recibirá una evaluación de seguridad del recorrido completo.</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0 hallazgos críticos o altos abiertos; medios con plan &lt;= 30 días.</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informe de pruebas y retest de correcciones.</w:t>
            </w:r>
          </w:p>
        </w:tc>
      </w:tr>
    </w:tbl>
    <w:p>
      <w:pPr>
        <w:pStyle w:val="SmallNote"/>
        <w:spacing w:after="40"/>
      </w:pPr>
    </w:p>
    <w:p>
      <w:pPr>
        <w:pStyle w:val="Heading1"/>
      </w:pPr>
      <w:r>
        <w:t>9. Privacidad y protección de datos</w:t>
      </w:r>
    </w:p>
    <w:p>
      <w:pPr>
        <w:keepNext/>
      </w:pPr>
      <w:r>
        <w:t>Mantener privados por defecto el progreso, las respuestas y las notas, reducir datos innecesarios y controlar la única interacción externa permitida.</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700"/>
        <w:gridCol w:w="7660"/>
      </w:tblGrid>
      <w:tr>
        <w:trPr>
          <w:tblHeader w:val="true"/>
          <w:cantSplit/>
        </w:trPr>
        <w:tc>
          <w:tcPr>
            <w:tcW w:type="dxa" w:w="17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Trazabilidad</w:t>
            </w:r>
          </w:p>
        </w:tc>
        <w:tc>
          <w:tcPr>
            <w:tcW w:type="dxa" w:w="76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Cobertura</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7"/>
              </w:rPr>
              <w:t>Módulos</w:t>
            </w:r>
          </w:p>
        </w:tc>
        <w:tc>
          <w:tcPr>
            <w:tcW w:type="dxa" w:w="7660"/>
            <w:tcMar>
              <w:top w:w="80" w:type="dxa"/>
              <w:start w:w="120" w:type="dxa"/>
              <w:bottom w:w="80" w:type="dxa"/>
              <w:end w:w="120" w:type="dxa"/>
            </w:tcMar>
            <w:vAlign w:val="center"/>
          </w:tcPr>
          <w:p>
            <w:pPr>
              <w:pStyle w:val="TableText"/>
            </w:pPr>
            <w:r/>
            <w:r>
              <w:rPr>
                <w:rFonts w:ascii="Calibri" w:hAnsi="Calibri" w:eastAsia="Calibri"/>
                <w:b w:val="0"/>
                <w:i w:val="0"/>
                <w:color w:val="000000"/>
                <w:sz w:val="17"/>
              </w:rPr>
              <w:t>M01, M06-M09, M18 y M19</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7"/>
              </w:rPr>
              <w:t>Criterios y flujos</w:t>
            </w:r>
          </w:p>
        </w:tc>
        <w:tc>
          <w:tcPr>
            <w:tcW w:type="dxa" w:w="7660"/>
            <w:tcMar>
              <w:top w:w="80" w:type="dxa"/>
              <w:start w:w="120" w:type="dxa"/>
              <w:bottom w:w="80" w:type="dxa"/>
              <w:end w:w="120" w:type="dxa"/>
            </w:tcMar>
            <w:vAlign w:val="center"/>
          </w:tcPr>
          <w:p>
            <w:pPr>
              <w:pStyle w:val="TableText"/>
            </w:pPr>
            <w:r/>
            <w:r>
              <w:rPr>
                <w:rFonts w:ascii="Calibri" w:hAnsi="Calibri" w:eastAsia="Calibri"/>
                <w:b w:val="0"/>
                <w:i w:val="0"/>
                <w:color w:val="000000"/>
                <w:sz w:val="17"/>
              </w:rPr>
              <w:t>CE-01, CE-07, CE-08, CE-11, CE-12 y CE-14; F01, F07-F10</w:t>
            </w:r>
          </w:p>
        </w:tc>
      </w:tr>
    </w:tbl>
    <w:p>
      <w:pPr>
        <w:pStyle w:val="SmallNote"/>
        <w:spacing w:after="40"/>
      </w:pP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900"/>
        <w:gridCol w:w="3400"/>
        <w:gridCol w:w="2600"/>
        <w:gridCol w:w="2460"/>
      </w:tblGrid>
      <w:tr>
        <w:trPr>
          <w:tblHeader w:val="true"/>
          <w:cantSplit/>
        </w:trPr>
        <w:tc>
          <w:tcPr>
            <w:tcW w:type="dxa" w:w="90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ID</w:t>
            </w:r>
          </w:p>
        </w:tc>
        <w:tc>
          <w:tcPr>
            <w:tcW w:type="dxa" w:w="340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Requisito</w:t>
            </w:r>
          </w:p>
        </w:tc>
        <w:tc>
          <w:tcPr>
            <w:tcW w:type="dxa" w:w="260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Métrica y umbral</w:t>
            </w:r>
          </w:p>
        </w:tc>
        <w:tc>
          <w:tcPr>
            <w:tcW w:type="dxa" w:w="246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Verificación y evidencia</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RNF-MVP-068</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Privacidad por defecto. </w:t>
            </w:r>
            <w:r>
              <w:rPr>
                <w:rFonts w:ascii="Calibri" w:hAnsi="Calibri" w:eastAsia="Calibri"/>
                <w:b w:val="0"/>
                <w:i w:val="0"/>
                <w:color w:val="000000"/>
                <w:sz w:val="17"/>
              </w:rPr>
              <w:t>La configuración inicial expondrá la menor cantidad de datos posible.</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Progreso, respuestas, notas e historial privados en el 100 % de cuentas nuevas.</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Pre/Op: creación de cuentas y revisión de permisos.</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RNF-MVP-069</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Inventario de datos. </w:t>
            </w:r>
            <w:r>
              <w:rPr>
                <w:rFonts w:ascii="Calibri" w:hAnsi="Calibri" w:eastAsia="Calibri"/>
                <w:b w:val="0"/>
                <w:i w:val="0"/>
                <w:color w:val="000000"/>
                <w:sz w:val="17"/>
              </w:rPr>
              <w:t>Cada campo personal tendrá propósito, propietario, base de tratamiento y retención definida.</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100 % de campos y eventos inventariados antes de producción.</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catálogo de datos aprobado.</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RNF-MVP-070</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Consentimiento versionado. </w:t>
            </w:r>
            <w:r>
              <w:rPr>
                <w:rFonts w:ascii="Calibri" w:hAnsi="Calibri" w:eastAsia="Calibri"/>
                <w:b w:val="0"/>
                <w:i w:val="0"/>
                <w:color w:val="000000"/>
                <w:sz w:val="17"/>
              </w:rPr>
              <w:t>El consentimiento no esencial será previo, específico, revocable y demostrable.</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Versión, fecha, finalidad y decisión registradas; retiro disponible con pasos no mayores que la aceptación.</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prueba funcional y evidencia de auditoría.</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RNF-MVP-071</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No publicación educativa. </w:t>
            </w:r>
            <w:r>
              <w:rPr>
                <w:rFonts w:ascii="Calibri" w:hAnsi="Calibri" w:eastAsia="Calibri"/>
                <w:b w:val="0"/>
                <w:i w:val="0"/>
                <w:color w:val="000000"/>
                <w:sz w:val="17"/>
              </w:rPr>
              <w:t>El MVP no expondrá resultados educativos mediante perfiles o endpoints públicos.</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0 rutas públicas o respuestas no autenticadas con progreso, intentos o notas.</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inventario de API y pruebas de acceso.</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RNF-MVP-072</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Independencia lingüística. </w:t>
            </w:r>
            <w:r>
              <w:rPr>
                <w:rFonts w:ascii="Calibri" w:hAnsi="Calibri" w:eastAsia="Calibri"/>
                <w:b w:val="0"/>
                <w:i w:val="0"/>
                <w:color w:val="000000"/>
                <w:sz w:val="17"/>
              </w:rPr>
              <w:t>Letras, traducciones, respuestas y análisis no se enviarán a traductores, diccionarios, buscadores o analítica externos.</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0 llamadas externas fuera del reproductor de YouTube durante F01-F10.</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Pre/Op: captura de red y allowlist de destinos.</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RNF-MVP-073</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Modo de privacidad de YouTube. </w:t>
            </w:r>
            <w:r>
              <w:rPr>
                <w:rFonts w:ascii="Calibri" w:hAnsi="Calibri" w:eastAsia="Calibri"/>
                <w:b w:val="0"/>
                <w:i w:val="0"/>
                <w:color w:val="000000"/>
                <w:sz w:val="17"/>
              </w:rPr>
              <w:t>El player usará la opción de privacidad mejorada y no se cargará antes de la acción o decisión correspondiente.</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Dominio youtube-nocookie.com; carga diferida; 100 % de páginas de canción conformes.</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Pre/Op: inspección DOM, red y consentimiento.</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RNF-MVP-074</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Minimización de registros. </w:t>
            </w:r>
            <w:r>
              <w:rPr>
                <w:rFonts w:ascii="Calibri" w:hAnsi="Calibri" w:eastAsia="Calibri"/>
                <w:b w:val="0"/>
                <w:i w:val="0"/>
                <w:color w:val="000000"/>
                <w:sz w:val="17"/>
              </w:rPr>
              <w:t>Logs y telemetría no conservarán secretos ni contenido educativo sensible innecesario.</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0 contraseñas, tokens, respuestas completas o notas libres; correo seudonimizado cuando no sea esencial.</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Pre/Op: escaneo automático de muestras de log.</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RNF-MVP-075</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Datos de no producción. </w:t>
            </w:r>
            <w:r>
              <w:rPr>
                <w:rFonts w:ascii="Calibri" w:hAnsi="Calibri" w:eastAsia="Calibri"/>
                <w:b w:val="0"/>
                <w:i w:val="0"/>
                <w:color w:val="000000"/>
                <w:sz w:val="17"/>
              </w:rPr>
              <w:t>Desarrollo y pruebas usarán datos sintéticos o anonimizados.</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0 registros personales de producción en ambientes inferiores.</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Pre/Op: control de carga y muestreo trimestral.</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RNF-MVP-076</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Solicitud de datos. </w:t>
            </w:r>
            <w:r>
              <w:rPr>
                <w:rFonts w:ascii="Calibri" w:hAnsi="Calibri" w:eastAsia="Calibri"/>
                <w:b w:val="0"/>
                <w:i w:val="0"/>
                <w:color w:val="000000"/>
                <w:sz w:val="17"/>
              </w:rPr>
              <w:t>Las solicitudes de acceso o portabilidad tendrán un proceso medible aunque inicialmente sea asistido.</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Acuse &lt;= 5 días hábiles y resolución &lt;= 30 días calendario.</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Op: ticket, identidad verificada y registro de cumplimiento.</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RNF-MVP-077</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Eliminación de cuenta. </w:t>
            </w:r>
            <w:r>
              <w:rPr>
                <w:rFonts w:ascii="Calibri" w:hAnsi="Calibri" w:eastAsia="Calibri"/>
                <w:b w:val="0"/>
                <w:i w:val="0"/>
                <w:color w:val="000000"/>
                <w:sz w:val="17"/>
              </w:rPr>
              <w:t>La eliminación retirará los datos activos y respetará la caducidad de copias.</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Datos activos &lt;= 7 días; desaparición de respaldos &lt;= 35 días, salvo retención documentada aplicable.</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Pre/Op: prueba de cuenta y reporte de purga.</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RNF-MVP-078</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Aplicación de retención. </w:t>
            </w:r>
            <w:r>
              <w:rPr>
                <w:rFonts w:ascii="Calibri" w:hAnsi="Calibri" w:eastAsia="Calibri"/>
                <w:b w:val="0"/>
                <w:i w:val="0"/>
                <w:color w:val="000000"/>
                <w:sz w:val="17"/>
              </w:rPr>
              <w:t>La retención se ejecutará, no solo se documentará.</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Ejecución al menos mensual; 0 registros vencidos sin excepción vigente.</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Op: reporte automático y revisión del propietario.</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RNF-MVP-079</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Acceso a datos personales. </w:t>
            </w:r>
            <w:r>
              <w:rPr>
                <w:rFonts w:ascii="Calibri" w:hAnsi="Calibri" w:eastAsia="Calibri"/>
                <w:b w:val="0"/>
                <w:i w:val="0"/>
                <w:color w:val="000000"/>
                <w:sz w:val="17"/>
              </w:rPr>
              <w:t>El acceso humano a información personal será mínimo y revisado.</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Revisión trimestral; revocación por cambio de función &lt;= 24 h.</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Op: lista de accesos, aprobación y evidencia de revocación.</w:t>
            </w:r>
          </w:p>
        </w:tc>
      </w:tr>
    </w:tbl>
    <w:p>
      <w:pPr>
        <w:pStyle w:val="SmallNote"/>
        <w:spacing w:after="40"/>
      </w:pPr>
    </w:p>
    <w:p>
      <w:pPr>
        <w:pStyle w:val="Heading1"/>
      </w:pPr>
      <w:r>
        <w:t>10. Respaldo, recuperación y continuidad</w:t>
      </w:r>
    </w:p>
    <w:p>
      <w:pPr>
        <w:keepNext/>
      </w:pPr>
      <w:r>
        <w:t>Limitar la pérdida de información y asegurar que identidad, contenido publicado, progreso y configuración puedan restaurarse dentro de objetivos conocidos.</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700"/>
        <w:gridCol w:w="7660"/>
      </w:tblGrid>
      <w:tr>
        <w:trPr>
          <w:tblHeader w:val="true"/>
          <w:cantSplit/>
        </w:trPr>
        <w:tc>
          <w:tcPr>
            <w:tcW w:type="dxa" w:w="17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Trazabilidad</w:t>
            </w:r>
          </w:p>
        </w:tc>
        <w:tc>
          <w:tcPr>
            <w:tcW w:type="dxa" w:w="76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Cobertura</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7"/>
              </w:rPr>
              <w:t>Módulos</w:t>
            </w:r>
          </w:p>
        </w:tc>
        <w:tc>
          <w:tcPr>
            <w:tcW w:type="dxa" w:w="7660"/>
            <w:tcMar>
              <w:top w:w="80" w:type="dxa"/>
              <w:start w:w="120" w:type="dxa"/>
              <w:bottom w:w="80" w:type="dxa"/>
              <w:end w:w="120" w:type="dxa"/>
            </w:tcMar>
            <w:vAlign w:val="center"/>
          </w:tcPr>
          <w:p>
            <w:pPr>
              <w:pStyle w:val="TableText"/>
            </w:pPr>
            <w:r/>
            <w:r>
              <w:rPr>
                <w:rFonts w:ascii="Calibri" w:hAnsi="Calibri" w:eastAsia="Calibri"/>
                <w:b w:val="0"/>
                <w:i w:val="0"/>
                <w:color w:val="000000"/>
                <w:sz w:val="17"/>
              </w:rPr>
              <w:t>M01-M09, M15, M18 y M19</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7"/>
              </w:rPr>
              <w:t>Criterios y flujos</w:t>
            </w:r>
          </w:p>
        </w:tc>
        <w:tc>
          <w:tcPr>
            <w:tcW w:type="dxa" w:w="7660"/>
            <w:tcMar>
              <w:top w:w="80" w:type="dxa"/>
              <w:start w:w="120" w:type="dxa"/>
              <w:bottom w:w="80" w:type="dxa"/>
              <w:end w:w="120" w:type="dxa"/>
            </w:tcMar>
            <w:vAlign w:val="center"/>
          </w:tcPr>
          <w:p>
            <w:pPr>
              <w:pStyle w:val="TableText"/>
            </w:pPr>
            <w:r/>
            <w:r>
              <w:rPr>
                <w:rFonts w:ascii="Calibri" w:hAnsi="Calibri" w:eastAsia="Calibri"/>
                <w:b w:val="0"/>
                <w:i w:val="0"/>
                <w:color w:val="000000"/>
                <w:sz w:val="17"/>
              </w:rPr>
              <w:t>CE-01 a CE-14; F01 a F10</w:t>
            </w:r>
          </w:p>
        </w:tc>
      </w:tr>
    </w:tbl>
    <w:p>
      <w:pPr>
        <w:pStyle w:val="SmallNote"/>
        <w:spacing w:after="40"/>
      </w:pP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900"/>
        <w:gridCol w:w="3400"/>
        <w:gridCol w:w="2600"/>
        <w:gridCol w:w="2460"/>
      </w:tblGrid>
      <w:tr>
        <w:trPr>
          <w:tblHeader w:val="true"/>
          <w:cantSplit/>
        </w:trPr>
        <w:tc>
          <w:tcPr>
            <w:tcW w:type="dxa" w:w="90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ID</w:t>
            </w:r>
          </w:p>
        </w:tc>
        <w:tc>
          <w:tcPr>
            <w:tcW w:type="dxa" w:w="340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Requisito</w:t>
            </w:r>
          </w:p>
        </w:tc>
        <w:tc>
          <w:tcPr>
            <w:tcW w:type="dxa" w:w="260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Métrica y umbral</w:t>
            </w:r>
          </w:p>
        </w:tc>
        <w:tc>
          <w:tcPr>
            <w:tcW w:type="dxa" w:w="246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Verificación y evidencia</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RNF-MVP-080</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Objetivo de punto de recuperación. </w:t>
            </w:r>
            <w:r>
              <w:rPr>
                <w:rFonts w:ascii="Calibri" w:hAnsi="Calibri" w:eastAsia="Calibri"/>
                <w:b w:val="0"/>
                <w:i w:val="0"/>
                <w:color w:val="000000"/>
                <w:sz w:val="17"/>
              </w:rPr>
              <w:t>La pérdida máxima aceptable de datos críticos estará limitada.</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RPO &lt;= 1 h para identidad, progreso, contenido publicado, permisos y configuración.</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simulación de pérdida y comparación de marcas de tiempo.</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RNF-MVP-081</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Objetivo de tiempo de recuperación. </w:t>
            </w:r>
            <w:r>
              <w:rPr>
                <w:rFonts w:ascii="Calibri" w:hAnsi="Calibri" w:eastAsia="Calibri"/>
                <w:b w:val="0"/>
                <w:i w:val="0"/>
                <w:color w:val="000000"/>
                <w:sz w:val="17"/>
              </w:rPr>
              <w:t>El servicio crítico volverá a operar dentro de una ventana definida.</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RTO &lt;= 4 h desde la declaración del incidente.</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Pre/Op: ejercicio cronometrado de restauración.</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RNF-MVP-082</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Frecuencia de copia. </w:t>
            </w:r>
            <w:r>
              <w:rPr>
                <w:rFonts w:ascii="Calibri" w:hAnsi="Calibri" w:eastAsia="Calibri"/>
                <w:b w:val="0"/>
                <w:i w:val="0"/>
                <w:color w:val="000000"/>
                <w:sz w:val="17"/>
              </w:rPr>
              <w:t>La estrategia de respaldo permitirá cumplir el RPO sin depender de una única copia diaria.</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Captura incremental o de transacciones &lt;= 1 h y copia completa diaria.</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Pre/Op: configuración y monitoreo de trabajos.</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RNF-MVP-083</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Retención de copias. </w:t>
            </w:r>
            <w:r>
              <w:rPr>
                <w:rFonts w:ascii="Calibri" w:hAnsi="Calibri" w:eastAsia="Calibri"/>
                <w:b w:val="0"/>
                <w:i w:val="0"/>
                <w:color w:val="000000"/>
                <w:sz w:val="17"/>
              </w:rPr>
              <w:t>Las copias se conservarán lo suficiente para recuperación sin contradecir la eliminación.</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35 días de restauración disponibles; copias vencidas eliminadas de forma verificable.</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Op: inventario de puntos y reporte de caducidad.</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RNF-MVP-084</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Separación de falla. </w:t>
            </w:r>
            <w:r>
              <w:rPr>
                <w:rFonts w:ascii="Calibri" w:hAnsi="Calibri" w:eastAsia="Calibri"/>
                <w:b w:val="0"/>
                <w:i w:val="0"/>
                <w:color w:val="000000"/>
                <w:sz w:val="17"/>
              </w:rPr>
              <w:t>Una falla del almacenamiento principal no destruirá todas las copias.</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Al menos una copia cifrada en dominio de falla independiente y con credenciales separadas.</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revisión de arquitectura y prueba de indisponibilidad primaria.</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RNF-MVP-085</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Integridad de respaldo. </w:t>
            </w:r>
            <w:r>
              <w:rPr>
                <w:rFonts w:ascii="Calibri" w:hAnsi="Calibri" w:eastAsia="Calibri"/>
                <w:b w:val="0"/>
                <w:i w:val="0"/>
                <w:color w:val="000000"/>
                <w:sz w:val="17"/>
              </w:rPr>
              <w:t>Una copia incompleta o corrupta se detectará antes de necesitarla.</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Verificación automática diaria de finalización, tamaño y checksum; 0 fallos sin alerta.</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Op: panel de respaldos y prueba de alerta.</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RNF-MVP-086</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Prueba de restauración. </w:t>
            </w:r>
            <w:r>
              <w:rPr>
                <w:rFonts w:ascii="Calibri" w:hAnsi="Calibri" w:eastAsia="Calibri"/>
                <w:b w:val="0"/>
                <w:i w:val="0"/>
                <w:color w:val="000000"/>
                <w:sz w:val="17"/>
              </w:rPr>
              <w:t>El respaldo se considerará válido solo después de restaurarlo.</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Restauración completa antes del MVP y al menos trimestral; cumplimiento de RPO y RTO.</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Pre/Op: acta de ejercicio con tiempos y conteos.</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RNF-MVP-087</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Cobertura de almacenes. </w:t>
            </w:r>
            <w:r>
              <w:rPr>
                <w:rFonts w:ascii="Calibri" w:hAnsi="Calibri" w:eastAsia="Calibri"/>
                <w:b w:val="0"/>
                <w:i w:val="0"/>
                <w:color w:val="000000"/>
                <w:sz w:val="17"/>
              </w:rPr>
              <w:t>Todo componente con datos necesarios para CE-01 a CE-14 estará incluido.</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100 % de bases, objetos, índices recreables, configuración y claves recuperables inventariados.</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matriz de componentes y procedimiento de restauración.</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RNF-MVP-088</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Acceso a copias. </w:t>
            </w:r>
            <w:r>
              <w:rPr>
                <w:rFonts w:ascii="Calibri" w:hAnsi="Calibri" w:eastAsia="Calibri"/>
                <w:b w:val="0"/>
                <w:i w:val="0"/>
                <w:color w:val="000000"/>
                <w:sz w:val="17"/>
              </w:rPr>
              <w:t>Los respaldos tendrán permisos más restrictivos que la operación cotidiana.</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Solo roles autorizados; 100 % de lecturas, restauraciones y eliminaciones auditadas.</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Pre/Op: prueba de permisos y revisión de eventos.</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RNF-MVP-089</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Plan de continuidad. </w:t>
            </w:r>
            <w:r>
              <w:rPr>
                <w:rFonts w:ascii="Calibri" w:hAnsi="Calibri" w:eastAsia="Calibri"/>
                <w:b w:val="0"/>
                <w:i w:val="0"/>
                <w:color w:val="000000"/>
                <w:sz w:val="17"/>
              </w:rPr>
              <w:t>La recuperación tendrá un procedimiento ejecutable y mantenido.</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Runbook versionado, responsables y contactos; ejercicio integral al menos dos veces al año.</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Pre/Op: revisión documental y simulacro.</w:t>
            </w:r>
          </w:p>
        </w:tc>
      </w:tr>
    </w:tbl>
    <w:p>
      <w:pPr>
        <w:pStyle w:val="SmallNote"/>
        <w:spacing w:after="40"/>
      </w:pPr>
    </w:p>
    <w:p>
      <w:pPr>
        <w:pStyle w:val="Heading1"/>
      </w:pPr>
      <w:r>
        <w:t>11. Accesibilidad, usabilidad e internacionalización</w:t>
      </w:r>
    </w:p>
    <w:p>
      <w:pPr>
        <w:keepNext/>
      </w:pPr>
      <w:r>
        <w:t>Permitir que el recorrido esencial funcione con teclado, lector de pantalla, ampliación y preferencias de movimiento, conservando la presentación correcta del español y del japonés.</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700"/>
        <w:gridCol w:w="7660"/>
      </w:tblGrid>
      <w:tr>
        <w:trPr>
          <w:tblHeader w:val="true"/>
          <w:cantSplit/>
        </w:trPr>
        <w:tc>
          <w:tcPr>
            <w:tcW w:type="dxa" w:w="17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Trazabilidad</w:t>
            </w:r>
          </w:p>
        </w:tc>
        <w:tc>
          <w:tcPr>
            <w:tcW w:type="dxa" w:w="76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Cobertura</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7"/>
              </w:rPr>
              <w:t>Módulos</w:t>
            </w:r>
          </w:p>
        </w:tc>
        <w:tc>
          <w:tcPr>
            <w:tcW w:type="dxa" w:w="7660"/>
            <w:tcMar>
              <w:top w:w="80" w:type="dxa"/>
              <w:start w:w="120" w:type="dxa"/>
              <w:bottom w:w="80" w:type="dxa"/>
              <w:end w:w="120" w:type="dxa"/>
            </w:tcMar>
            <w:vAlign w:val="center"/>
          </w:tcPr>
          <w:p>
            <w:pPr>
              <w:pStyle w:val="TableText"/>
            </w:pPr>
            <w:r/>
            <w:r>
              <w:rPr>
                <w:rFonts w:ascii="Calibri" w:hAnsi="Calibri" w:eastAsia="Calibri"/>
                <w:b w:val="0"/>
                <w:i w:val="0"/>
                <w:color w:val="000000"/>
                <w:sz w:val="17"/>
              </w:rPr>
              <w:t>M01, M03-M09, M15, M18 y M19</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7"/>
              </w:rPr>
              <w:t>Criterios y flujos</w:t>
            </w:r>
          </w:p>
        </w:tc>
        <w:tc>
          <w:tcPr>
            <w:tcW w:type="dxa" w:w="7660"/>
            <w:tcMar>
              <w:top w:w="80" w:type="dxa"/>
              <w:start w:w="120" w:type="dxa"/>
              <w:bottom w:w="80" w:type="dxa"/>
              <w:end w:w="120" w:type="dxa"/>
            </w:tcMar>
            <w:vAlign w:val="center"/>
          </w:tcPr>
          <w:p>
            <w:pPr>
              <w:pStyle w:val="TableText"/>
            </w:pPr>
            <w:r/>
            <w:r>
              <w:rPr>
                <w:rFonts w:ascii="Calibri" w:hAnsi="Calibri" w:eastAsia="Calibri"/>
                <w:b w:val="0"/>
                <w:i w:val="0"/>
                <w:color w:val="000000"/>
                <w:sz w:val="17"/>
              </w:rPr>
              <w:t>CE-01 a CE-09 y CE-13; F01 a F09</w:t>
            </w:r>
          </w:p>
        </w:tc>
      </w:tr>
    </w:tbl>
    <w:p>
      <w:pPr>
        <w:pStyle w:val="SmallNote"/>
        <w:spacing w:after="40"/>
      </w:pP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900"/>
        <w:gridCol w:w="3400"/>
        <w:gridCol w:w="2600"/>
        <w:gridCol w:w="2460"/>
      </w:tblGrid>
      <w:tr>
        <w:trPr>
          <w:tblHeader w:val="true"/>
          <w:cantSplit/>
        </w:trPr>
        <w:tc>
          <w:tcPr>
            <w:tcW w:type="dxa" w:w="90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ID</w:t>
            </w:r>
          </w:p>
        </w:tc>
        <w:tc>
          <w:tcPr>
            <w:tcW w:type="dxa" w:w="340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Requisito</w:t>
            </w:r>
          </w:p>
        </w:tc>
        <w:tc>
          <w:tcPr>
            <w:tcW w:type="dxa" w:w="260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Métrica y umbral</w:t>
            </w:r>
          </w:p>
        </w:tc>
        <w:tc>
          <w:tcPr>
            <w:tcW w:type="dxa" w:w="246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Verificación y evidencia</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RNF-MVP-090</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Conformidad WCAG. </w:t>
            </w:r>
            <w:r>
              <w:rPr>
                <w:rFonts w:ascii="Calibri" w:hAnsi="Calibri" w:eastAsia="Calibri"/>
                <w:b w:val="0"/>
                <w:i w:val="0"/>
                <w:color w:val="000000"/>
                <w:sz w:val="17"/>
              </w:rPr>
              <w:t>Las páginas y estados del recorrido esencial cumplirán WCAG 2.2 nivel AA.</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0 fallos A o AA en CE-01 a CE-09 y CE-13; verificación automática y manual.</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informe por criterio, página y estado.</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RNF-MVP-091</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Operación por teclado. </w:t>
            </w:r>
            <w:r>
              <w:rPr>
                <w:rFonts w:ascii="Calibri" w:hAnsi="Calibri" w:eastAsia="Calibri"/>
                <w:b w:val="0"/>
                <w:i w:val="0"/>
                <w:color w:val="000000"/>
                <w:sz w:val="17"/>
              </w:rPr>
              <w:t>Todas las acciones esenciales serán utilizables sin ratón.</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100 % de F01-F09 completables con teclado; 0 trampas de foco.</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recorrido manual documentado.</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RNF-MVP-092</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Foco visible. </w:t>
            </w:r>
            <w:r>
              <w:rPr>
                <w:rFonts w:ascii="Calibri" w:hAnsi="Calibri" w:eastAsia="Calibri"/>
                <w:b w:val="0"/>
                <w:i w:val="0"/>
                <w:color w:val="000000"/>
                <w:sz w:val="17"/>
              </w:rPr>
              <w:t>El foco se distinguirá y no quedará oculto por barras, diálogos o reproductor.</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100 % de controles interactivos con indicador visible y no oculto.</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revisión visual en todos los breakpoints.</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RNF-MVP-093</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Contraste. </w:t>
            </w:r>
            <w:r>
              <w:rPr>
                <w:rFonts w:ascii="Calibri" w:hAnsi="Calibri" w:eastAsia="Calibri"/>
                <w:b w:val="0"/>
                <w:i w:val="0"/>
                <w:color w:val="000000"/>
                <w:sz w:val="17"/>
              </w:rPr>
              <w:t>Texto, controles e indicadores conservarán contraste suficiente.</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&gt;= 4,5:1 para texto normal y &gt;= 3:1 para texto grande y componentes gráficos.</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medición automática y muestreo manual.</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RNF-MVP-094</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Información no dependiente del color. </w:t>
            </w:r>
            <w:r>
              <w:rPr>
                <w:rFonts w:ascii="Calibri" w:hAnsi="Calibri" w:eastAsia="Calibri"/>
                <w:b w:val="0"/>
                <w:i w:val="0"/>
                <w:color w:val="000000"/>
                <w:sz w:val="17"/>
              </w:rPr>
              <w:t>Estados, aciertos, errores y progreso no se comunicarán solo mediante color.</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100 % de estados con texto, icono o patrón adicional.</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revisión en escala de grises y casos funcionales.</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RNF-MVP-095</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Ampliación de texto. </w:t>
            </w:r>
            <w:r>
              <w:rPr>
                <w:rFonts w:ascii="Calibri" w:hAnsi="Calibri" w:eastAsia="Calibri"/>
                <w:b w:val="0"/>
                <w:i w:val="0"/>
                <w:color w:val="000000"/>
                <w:sz w:val="17"/>
              </w:rPr>
              <w:t>El contenido seguirá siendo legible al ampliar.</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200 % de zoom sin pérdida de contenido ni función.</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prueba en todas las páginas esenciales.</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RNF-MVP-096</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Reflujo. </w:t>
            </w:r>
            <w:r>
              <w:rPr>
                <w:rFonts w:ascii="Calibri" w:hAnsi="Calibri" w:eastAsia="Calibri"/>
                <w:b w:val="0"/>
                <w:i w:val="0"/>
                <w:color w:val="000000"/>
                <w:sz w:val="17"/>
              </w:rPr>
              <w:t>La interfaz esencial no exigirá desplazamiento horizontal en una vista estrecha.</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320 CSS px sin pérdida ni scroll horizontal, salvo una excepción WCAG documentada.</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matriz de breakpoints y captura de evidencia.</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RNF-MVP-097</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Tamaño de objetivo. </w:t>
            </w:r>
            <w:r>
              <w:rPr>
                <w:rFonts w:ascii="Calibri" w:hAnsi="Calibri" w:eastAsia="Calibri"/>
                <w:b w:val="0"/>
                <w:i w:val="0"/>
                <w:color w:val="000000"/>
                <w:sz w:val="17"/>
              </w:rPr>
              <w:t>Los controles táctiles tendrán un área suficiente o separación equivalente.</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&gt;= 24 x 24 CSS px o espaciado que cumpla WCAG 2.2.</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auditoría geométrica automatizada y manual.</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RNF-MVP-098</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Nombre, rol y estado. </w:t>
            </w:r>
            <w:r>
              <w:rPr>
                <w:rFonts w:ascii="Calibri" w:hAnsi="Calibri" w:eastAsia="Calibri"/>
                <w:b w:val="0"/>
                <w:i w:val="0"/>
                <w:color w:val="000000"/>
                <w:sz w:val="17"/>
              </w:rPr>
              <w:t>Los componentes expondrán información programática coherente.</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100 % de controles con nombre accesible; rol y estado correctos.</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inspección del árbol de accesibilidad.</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RNF-MVP-099</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Errores de formulario. </w:t>
            </w:r>
            <w:r>
              <w:rPr>
                <w:rFonts w:ascii="Calibri" w:hAnsi="Calibri" w:eastAsia="Calibri"/>
                <w:b w:val="0"/>
                <w:i w:val="0"/>
                <w:color w:val="000000"/>
                <w:sz w:val="17"/>
              </w:rPr>
              <w:t>Los errores señalarán el campo, causa y forma de corrección.</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100 % de errores vinculados programáticamente y foco enviado al resumen o primer error.</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casos inválidos de registro, login, edición y ejercicio.</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RNF-MVP-100</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Lectores de pantalla. </w:t>
            </w:r>
            <w:r>
              <w:rPr>
                <w:rFonts w:ascii="Calibri" w:hAnsi="Calibri" w:eastAsia="Calibri"/>
                <w:b w:val="0"/>
                <w:i w:val="0"/>
                <w:color w:val="000000"/>
                <w:sz w:val="17"/>
              </w:rPr>
              <w:t>El recorrido se probará con combinaciones representativas.</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CE-01 a CE-09 aprobados con NVDA + Firefox/Chrome y VoiceOver + Safari.</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guion manual y registro de resultados.</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RNF-MVP-101</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Estructura semántica. </w:t>
            </w:r>
            <w:r>
              <w:rPr>
                <w:rFonts w:ascii="Calibri" w:hAnsi="Calibri" w:eastAsia="Calibri"/>
                <w:b w:val="0"/>
                <w:i w:val="0"/>
                <w:color w:val="000000"/>
                <w:sz w:val="17"/>
              </w:rPr>
              <w:t>Las páginas usarán encabezados, regiones, listas y tablas según su significado.</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0 errores críticos de estructura; jerarquía sin saltos injustificados.</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auditor automático y revisión manual.</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RNF-MVP-102</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Idiomas y ruby. </w:t>
            </w:r>
            <w:r>
              <w:rPr>
                <w:rFonts w:ascii="Calibri" w:hAnsi="Calibri" w:eastAsia="Calibri"/>
                <w:b w:val="0"/>
                <w:i w:val="0"/>
                <w:color w:val="000000"/>
                <w:sz w:val="17"/>
              </w:rPr>
              <w:t>El español y los fragmentos japoneses se identificarán para tecnologías de apoyo.</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lang=es en la interfaz, lang=ja en contenido japonés y ruby/rt semánticos en el 100 % de lecturas.</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inspección DOM y lector de pantalla.</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RNF-MVP-103</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Actualización de letra. </w:t>
            </w:r>
            <w:r>
              <w:rPr>
                <w:rFonts w:ascii="Calibri" w:hAnsi="Calibri" w:eastAsia="Calibri"/>
                <w:b w:val="0"/>
                <w:i w:val="0"/>
                <w:color w:val="000000"/>
                <w:sz w:val="17"/>
              </w:rPr>
              <w:t>El resaltado sincronizado no robará foco ni saturará anuncios.</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0 movimientos automáticos de foco; anuncios de línea desactivados o controlables por el usuario.</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reproducción con lector de pantalla.</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RNF-MVP-104</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Movimiento y destellos. </w:t>
            </w:r>
            <w:r>
              <w:rPr>
                <w:rFonts w:ascii="Calibri" w:hAnsi="Calibri" w:eastAsia="Calibri"/>
                <w:b w:val="0"/>
                <w:i w:val="0"/>
                <w:color w:val="000000"/>
                <w:sz w:val="17"/>
              </w:rPr>
              <w:t>La experiencia no provocará riesgo por parpadeo o movimiento innecesario.</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Ningún destello &gt; 3/s; respetar prefers-reduced-motion y permitir reducir animación.</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revisión visual y prueba de preferencia.</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RNF-MVP-105</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Alternativa al audio. </w:t>
            </w:r>
            <w:r>
              <w:rPr>
                <w:rFonts w:ascii="Calibri" w:hAnsi="Calibri" w:eastAsia="Calibri"/>
                <w:b w:val="0"/>
                <w:i w:val="0"/>
                <w:color w:val="000000"/>
                <w:sz w:val="17"/>
              </w:rPr>
              <w:t>La comprensión y la corrección no dependerán únicamente del sonido.</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100 % de letra, instrucciones, estados y retroalimentación disponibles como texto.</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recorrido con audio silenciado.</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RNF-MVP-106</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Tiempo de respuesta. </w:t>
            </w:r>
            <w:r>
              <w:rPr>
                <w:rFonts w:ascii="Calibri" w:hAnsi="Calibri" w:eastAsia="Calibri"/>
                <w:b w:val="0"/>
                <w:i w:val="0"/>
                <w:color w:val="000000"/>
                <w:sz w:val="17"/>
              </w:rPr>
              <w:t>Los ejercicios esenciales no impondrán límites que excluyan al usuario.</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Sin temporizador obligatorio en el MVP; cualquier límite futuro será ampliable o desactivable.</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inspección de actividades P0.</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RNF-MVP-107</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Autenticación accesible. </w:t>
            </w:r>
            <w:r>
              <w:rPr>
                <w:rFonts w:ascii="Calibri" w:hAnsi="Calibri" w:eastAsia="Calibri"/>
                <w:b w:val="0"/>
                <w:i w:val="0"/>
                <w:color w:val="000000"/>
                <w:sz w:val="17"/>
              </w:rPr>
              <w:t>El acceso permitirá gestores de contraseña y acciones de copiar/pegar.</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100 % de campos compatibles; 0 prueba cognitiva obligatoria.</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prueba con gestor de contraseñas y teclado.</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RNF-MVP-108</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Interfaz en español. </w:t>
            </w:r>
            <w:r>
              <w:rPr>
                <w:rFonts w:ascii="Calibri" w:hAnsi="Calibri" w:eastAsia="Calibri"/>
                <w:b w:val="0"/>
                <w:i w:val="0"/>
                <w:color w:val="000000"/>
                <w:sz w:val="17"/>
              </w:rPr>
              <w:t>El idioma visible inicial será consistente.</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100 % de cadenas propias del MVP en español, salvo nombres propios y contenido japonés.</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inventario de cadenas y revisión editorial.</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RNF-MVP-109</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Prueba de usabilidad. </w:t>
            </w:r>
            <w:r>
              <w:rPr>
                <w:rFonts w:ascii="Calibri" w:hAnsi="Calibri" w:eastAsia="Calibri"/>
                <w:b w:val="0"/>
                <w:i w:val="0"/>
                <w:color w:val="000000"/>
                <w:sz w:val="17"/>
              </w:rPr>
              <w:t>Personas representativas completarán el recorrido sin asistencia constante.</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Al menos 5 participantes; &gt;= 85 % de tareas críticas completadas sin facilitación y mediana &lt;= 2 errores recuperables.</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protocolo, consentimiento y reporte de resultados.</w:t>
            </w:r>
          </w:p>
        </w:tc>
      </w:tr>
    </w:tbl>
    <w:p>
      <w:pPr>
        <w:pStyle w:val="SmallNote"/>
        <w:spacing w:after="40"/>
      </w:pPr>
    </w:p>
    <w:p>
      <w:pPr>
        <w:pStyle w:val="Heading1"/>
      </w:pPr>
      <w:r>
        <w:t>12. Compatibilidad y portabilidad</w:t>
      </w:r>
    </w:p>
    <w:p>
      <w:pPr>
        <w:keepNext/>
      </w:pPr>
      <w:r>
        <w:t>Asegurar una experiencia web consistente en navegadores y tamaños actuales sin exigir instalaciones, complementos o dependencias ajenas al alcance.</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700"/>
        <w:gridCol w:w="7660"/>
      </w:tblGrid>
      <w:tr>
        <w:trPr>
          <w:tblHeader w:val="true"/>
          <w:cantSplit/>
        </w:trPr>
        <w:tc>
          <w:tcPr>
            <w:tcW w:type="dxa" w:w="17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Trazabilidad</w:t>
            </w:r>
          </w:p>
        </w:tc>
        <w:tc>
          <w:tcPr>
            <w:tcW w:type="dxa" w:w="76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Cobertura</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7"/>
              </w:rPr>
              <w:t>Módulos</w:t>
            </w:r>
          </w:p>
        </w:tc>
        <w:tc>
          <w:tcPr>
            <w:tcW w:type="dxa" w:w="7660"/>
            <w:tcMar>
              <w:top w:w="80" w:type="dxa"/>
              <w:start w:w="120" w:type="dxa"/>
              <w:bottom w:w="80" w:type="dxa"/>
              <w:end w:w="120" w:type="dxa"/>
            </w:tcMar>
            <w:vAlign w:val="center"/>
          </w:tcPr>
          <w:p>
            <w:pPr>
              <w:pStyle w:val="TableText"/>
            </w:pPr>
            <w:r/>
            <w:r>
              <w:rPr>
                <w:rFonts w:ascii="Calibri" w:hAnsi="Calibri" w:eastAsia="Calibri"/>
                <w:b w:val="0"/>
                <w:i w:val="0"/>
                <w:color w:val="000000"/>
                <w:sz w:val="17"/>
              </w:rPr>
              <w:t>M01-M09, M15, M18 y M19</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7"/>
              </w:rPr>
              <w:t>Criterios y flujos</w:t>
            </w:r>
          </w:p>
        </w:tc>
        <w:tc>
          <w:tcPr>
            <w:tcW w:type="dxa" w:w="7660"/>
            <w:tcMar>
              <w:top w:w="80" w:type="dxa"/>
              <w:start w:w="120" w:type="dxa"/>
              <w:bottom w:w="80" w:type="dxa"/>
              <w:end w:w="120" w:type="dxa"/>
            </w:tcMar>
            <w:vAlign w:val="center"/>
          </w:tcPr>
          <w:p>
            <w:pPr>
              <w:pStyle w:val="TableText"/>
            </w:pPr>
            <w:r/>
            <w:r>
              <w:rPr>
                <w:rFonts w:ascii="Calibri" w:hAnsi="Calibri" w:eastAsia="Calibri"/>
                <w:b w:val="0"/>
                <w:i w:val="0"/>
                <w:color w:val="000000"/>
                <w:sz w:val="17"/>
              </w:rPr>
              <w:t>CE-01 a CE-13; F01 a F09</w:t>
            </w:r>
          </w:p>
        </w:tc>
      </w:tr>
    </w:tbl>
    <w:p>
      <w:pPr>
        <w:pStyle w:val="SmallNote"/>
        <w:spacing w:after="40"/>
      </w:pP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900"/>
        <w:gridCol w:w="3400"/>
        <w:gridCol w:w="2600"/>
        <w:gridCol w:w="2460"/>
      </w:tblGrid>
      <w:tr>
        <w:trPr>
          <w:tblHeader w:val="true"/>
          <w:cantSplit/>
        </w:trPr>
        <w:tc>
          <w:tcPr>
            <w:tcW w:type="dxa" w:w="90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ID</w:t>
            </w:r>
          </w:p>
        </w:tc>
        <w:tc>
          <w:tcPr>
            <w:tcW w:type="dxa" w:w="340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Requisito</w:t>
            </w:r>
          </w:p>
        </w:tc>
        <w:tc>
          <w:tcPr>
            <w:tcW w:type="dxa" w:w="260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Métrica y umbral</w:t>
            </w:r>
          </w:p>
        </w:tc>
        <w:tc>
          <w:tcPr>
            <w:tcW w:type="dxa" w:w="246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Verificación y evidencia</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RNF-MVP-110</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Navegadores de escritorio. </w:t>
            </w:r>
            <w:r>
              <w:rPr>
                <w:rFonts w:ascii="Calibri" w:hAnsi="Calibri" w:eastAsia="Calibri"/>
                <w:b w:val="0"/>
                <w:i w:val="0"/>
                <w:color w:val="000000"/>
                <w:sz w:val="17"/>
              </w:rPr>
              <w:t>El recorrido esencial será compatible con navegadores modernos principales.</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Dos últimas versiones estables de Chrome, Edge y Firefox; última y anterior de Safari.</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matriz automatizada y pruebas manuales.</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RNF-MVP-111</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Navegadores móviles. </w:t>
            </w:r>
            <w:r>
              <w:rPr>
                <w:rFonts w:ascii="Calibri" w:hAnsi="Calibri" w:eastAsia="Calibri"/>
                <w:b w:val="0"/>
                <w:i w:val="0"/>
                <w:color w:val="000000"/>
                <w:sz w:val="17"/>
              </w:rPr>
              <w:t>El recorrido esencial funcionará en plataformas móviles actuales.</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Safari en iOS actual y anterior; Chrome en Android actual y anterior.</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dispositivos reales o granja representativa.</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RNF-MVP-112</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Rango responsivo. </w:t>
            </w:r>
            <w:r>
              <w:rPr>
                <w:rFonts w:ascii="Calibri" w:hAnsi="Calibri" w:eastAsia="Calibri"/>
                <w:b w:val="0"/>
                <w:i w:val="0"/>
                <w:color w:val="000000"/>
                <w:sz w:val="17"/>
              </w:rPr>
              <w:t>La interfaz conservará contenido y función en pantallas comunes.</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Anchos de 320 a 1.920 CSS px sin pérdida funcional.</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pruebas visuales en breakpoints definidos.</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RNF-MVP-113</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Tamaño del reproductor. </w:t>
            </w:r>
            <w:r>
              <w:rPr>
                <w:rFonts w:ascii="Calibri" w:hAnsi="Calibri" w:eastAsia="Calibri"/>
                <w:b w:val="0"/>
                <w:i w:val="0"/>
                <w:color w:val="000000"/>
                <w:sz w:val="17"/>
              </w:rPr>
              <w:t>El iframe respetará los mínimos técnicos de YouTube y se adaptará al espacio.</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&gt;= 200 x 200 px; objetivo de 480 x 270 px en escritorio cuando el ancho lo permita.</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inspección en todos los breakpoints.</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RNF-MVP-114</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Codificación Unicode. </w:t>
            </w:r>
            <w:r>
              <w:rPr>
                <w:rFonts w:ascii="Calibri" w:hAnsi="Calibri" w:eastAsia="Calibri"/>
                <w:b w:val="0"/>
                <w:i w:val="0"/>
                <w:color w:val="000000"/>
                <w:sz w:val="17"/>
              </w:rPr>
              <w:t>Los datos en español y japonés conservarán sus caracteres de extremo a extremo.</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UTF-8 y 100 % de ida y vuelta en corpus con kana, kanji, diacríticos, signos y combinaciones Unicode.</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prueba de entrada, base, API, exportación interna y render.</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RNF-MVP-115</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Cobertura tipográfica. </w:t>
            </w:r>
            <w:r>
              <w:rPr>
                <w:rFonts w:ascii="Calibri" w:hAnsi="Calibri" w:eastAsia="Calibri"/>
                <w:b w:val="0"/>
                <w:i w:val="0"/>
                <w:color w:val="000000"/>
                <w:sz w:val="17"/>
              </w:rPr>
              <w:t>La interfaz tendrá fuentes de respaldo para el contenido japonés.</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0 glifos faltantes en el corpus de prueba y en navegadores soportados.</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comparación visual automatizada y manual.</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RNF-MVP-116</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Fechas y zonas horarias. </w:t>
            </w:r>
            <w:r>
              <w:rPr>
                <w:rFonts w:ascii="Calibri" w:hAnsi="Calibri" w:eastAsia="Calibri"/>
                <w:b w:val="0"/>
                <w:i w:val="0"/>
                <w:color w:val="000000"/>
                <w:sz w:val="17"/>
              </w:rPr>
              <w:t>La persistencia temporal no dependerá de la ubicación del servidor.</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UTC e ISO 8601 internamente; presentación según zona del usuario; 0 cambio de día indebido en pruebas.</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casos UTC-12, UTC y UTC+14.</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RNF-MVP-117</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Red degradada. </w:t>
            </w:r>
            <w:r>
              <w:rPr>
                <w:rFonts w:ascii="Calibri" w:hAnsi="Calibri" w:eastAsia="Calibri"/>
                <w:b w:val="0"/>
                <w:i w:val="0"/>
                <w:color w:val="000000"/>
                <w:sz w:val="17"/>
              </w:rPr>
              <w:t>El contenido educativo propio seguirá siendo usable con una conexión modesta.</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1,5 Mbps y 150 ms RTT: contenido propio de canción p95 &lt;= 5 s, excluyendo video.</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perfil de red controlado.</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RNF-MVP-118</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Cookies de terceros. </w:t>
            </w:r>
            <w:r>
              <w:rPr>
                <w:rFonts w:ascii="Calibri" w:hAnsi="Calibri" w:eastAsia="Calibri"/>
                <w:b w:val="0"/>
                <w:i w:val="0"/>
                <w:color w:val="000000"/>
                <w:sz w:val="17"/>
              </w:rPr>
              <w:t>La cuenta y el progreso no dependerán de cookies de terceros del reproductor.</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F01 y F06-F09 funcionales con cookies de terceros bloqueadas; se informa la limitación externa.</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prueba de navegador en modo restrictivo.</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RNF-MVP-119</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Ejecución web estándar. </w:t>
            </w:r>
            <w:r>
              <w:rPr>
                <w:rFonts w:ascii="Calibri" w:hAnsi="Calibri" w:eastAsia="Calibri"/>
                <w:b w:val="0"/>
                <w:i w:val="0"/>
                <w:color w:val="000000"/>
                <w:sz w:val="17"/>
              </w:rPr>
              <w:t>El MVP no exigirá extensiones, complementos ni instalación nativa.</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100 % del recorrido en navegador soportado con JavaScript estándar habilitado.</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prueba en perfil limpio de navegador.</w:t>
            </w:r>
          </w:p>
        </w:tc>
      </w:tr>
    </w:tbl>
    <w:p>
      <w:pPr>
        <w:pStyle w:val="SmallNote"/>
        <w:spacing w:after="40"/>
      </w:pPr>
    </w:p>
    <w:p>
      <w:pPr>
        <w:pStyle w:val="Heading1"/>
      </w:pPr>
      <w:r>
        <w:t>13. Observabilidad y auditabilidad</w:t>
      </w:r>
    </w:p>
    <w:p>
      <w:pPr>
        <w:keepNext/>
      </w:pPr>
      <w:r>
        <w:t>Detectar degradaciones, explicar fallas y conservar evidencia completa de las acciones protegidas sin registrar contenido privado innecesario.</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700"/>
        <w:gridCol w:w="7660"/>
      </w:tblGrid>
      <w:tr>
        <w:trPr>
          <w:tblHeader w:val="true"/>
          <w:cantSplit/>
        </w:trPr>
        <w:tc>
          <w:tcPr>
            <w:tcW w:type="dxa" w:w="17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Trazabilidad</w:t>
            </w:r>
          </w:p>
        </w:tc>
        <w:tc>
          <w:tcPr>
            <w:tcW w:type="dxa" w:w="76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Cobertura</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7"/>
              </w:rPr>
              <w:t>Módulos</w:t>
            </w:r>
          </w:p>
        </w:tc>
        <w:tc>
          <w:tcPr>
            <w:tcW w:type="dxa" w:w="7660"/>
            <w:tcMar>
              <w:top w:w="80" w:type="dxa"/>
              <w:start w:w="120" w:type="dxa"/>
              <w:bottom w:w="80" w:type="dxa"/>
              <w:end w:w="120" w:type="dxa"/>
            </w:tcMar>
            <w:vAlign w:val="center"/>
          </w:tcPr>
          <w:p>
            <w:pPr>
              <w:pStyle w:val="TableText"/>
            </w:pPr>
            <w:r/>
            <w:r>
              <w:rPr>
                <w:rFonts w:ascii="Calibri" w:hAnsi="Calibri" w:eastAsia="Calibri"/>
                <w:b w:val="0"/>
                <w:i w:val="0"/>
                <w:color w:val="000000"/>
                <w:sz w:val="17"/>
              </w:rPr>
              <w:t>M18 y M19; telemetría transversal sobre M01-M09 y M15</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7"/>
              </w:rPr>
              <w:t>Criterios y flujos</w:t>
            </w:r>
          </w:p>
        </w:tc>
        <w:tc>
          <w:tcPr>
            <w:tcW w:type="dxa" w:w="7660"/>
            <w:tcMar>
              <w:top w:w="80" w:type="dxa"/>
              <w:start w:w="120" w:type="dxa"/>
              <w:bottom w:w="80" w:type="dxa"/>
              <w:end w:w="120" w:type="dxa"/>
            </w:tcMar>
            <w:vAlign w:val="center"/>
          </w:tcPr>
          <w:p>
            <w:pPr>
              <w:pStyle w:val="TableText"/>
            </w:pPr>
            <w:r/>
            <w:r>
              <w:rPr>
                <w:rFonts w:ascii="Calibri" w:hAnsi="Calibri" w:eastAsia="Calibri"/>
                <w:b w:val="0"/>
                <w:i w:val="0"/>
                <w:color w:val="000000"/>
                <w:sz w:val="17"/>
              </w:rPr>
              <w:t>CE-01 a CE-14; F01 a F10</w:t>
            </w:r>
          </w:p>
        </w:tc>
      </w:tr>
    </w:tbl>
    <w:p>
      <w:pPr>
        <w:pStyle w:val="SmallNote"/>
        <w:spacing w:after="40"/>
      </w:pP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900"/>
        <w:gridCol w:w="3400"/>
        <w:gridCol w:w="2600"/>
        <w:gridCol w:w="2460"/>
      </w:tblGrid>
      <w:tr>
        <w:trPr>
          <w:tblHeader w:val="true"/>
          <w:cantSplit/>
        </w:trPr>
        <w:tc>
          <w:tcPr>
            <w:tcW w:type="dxa" w:w="90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ID</w:t>
            </w:r>
          </w:p>
        </w:tc>
        <w:tc>
          <w:tcPr>
            <w:tcW w:type="dxa" w:w="340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Requisito</w:t>
            </w:r>
          </w:p>
        </w:tc>
        <w:tc>
          <w:tcPr>
            <w:tcW w:type="dxa" w:w="260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Métrica y umbral</w:t>
            </w:r>
          </w:p>
        </w:tc>
        <w:tc>
          <w:tcPr>
            <w:tcW w:type="dxa" w:w="246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Verificación y evidencia</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RNF-MVP-120</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Identificador de correlación. </w:t>
            </w:r>
            <w:r>
              <w:rPr>
                <w:rFonts w:ascii="Calibri" w:hAnsi="Calibri" w:eastAsia="Calibri"/>
                <w:b w:val="0"/>
                <w:i w:val="0"/>
                <w:color w:val="000000"/>
                <w:sz w:val="17"/>
              </w:rPr>
              <w:t>Cada solicitud y trabajo derivado podrá seguirse entre componentes.</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100 % de solicitudes y trabajos con correlation_id propagado.</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Pre/Op: prueba de trazas de extremo a extremo.</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RNF-MVP-121</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Registro estructurado. </w:t>
            </w:r>
            <w:r>
              <w:rPr>
                <w:rFonts w:ascii="Calibri" w:hAnsi="Calibri" w:eastAsia="Calibri"/>
                <w:b w:val="0"/>
                <w:i w:val="0"/>
                <w:color w:val="000000"/>
                <w:sz w:val="17"/>
              </w:rPr>
              <w:t>Los eventos técnicos críticos usarán un formato consultable y consistente.</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100 % de endpoints críticos y errores con nivel, servicio, operación, resultado, tiempo y correlación.</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Pre/Op: validación de esquema de logs.</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RNF-MVP-122</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Métricas mínimas. </w:t>
            </w:r>
            <w:r>
              <w:rPr>
                <w:rFonts w:ascii="Calibri" w:hAnsi="Calibri" w:eastAsia="Calibri"/>
                <w:b w:val="0"/>
                <w:i w:val="0"/>
                <w:color w:val="000000"/>
                <w:sz w:val="17"/>
              </w:rPr>
              <w:t>La operación expondrá señales de tráfico, error, latencia y saturación.</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Resolución &lt;= 1 min para solicitudes, colas, conexiones, CPU, memoria y almacenamiento.</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Op: panel y consulta de serie temporal.</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RNF-MVP-123</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Panel de flujos. </w:t>
            </w:r>
            <w:r>
              <w:rPr>
                <w:rFonts w:ascii="Calibri" w:hAnsi="Calibri" w:eastAsia="Calibri"/>
                <w:b w:val="0"/>
                <w:i w:val="0"/>
                <w:color w:val="000000"/>
                <w:sz w:val="17"/>
              </w:rPr>
              <w:t>Los diez flujos del MVP tendrán una vista operativa común.</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F01-F10 con volumen, éxito, p95, errores y dependencia principal.</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Pre/Op: revisión de dashboard.</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RNF-MVP-124</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Monitoreo sintético. </w:t>
            </w:r>
            <w:r>
              <w:rPr>
                <w:rFonts w:ascii="Calibri" w:hAnsi="Calibri" w:eastAsia="Calibri"/>
                <w:b w:val="0"/>
                <w:i w:val="0"/>
                <w:color w:val="000000"/>
                <w:sz w:val="17"/>
              </w:rPr>
              <w:t>Una prueba externa verificará que el sistema responde aunque no haya usuarios.</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Cada 5 min para acceso, búsqueda y apertura de canción; el video no es necesario.</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Op: historial y alerta de monitor.</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RNF-MVP-125</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Umbrales de alerta. </w:t>
            </w:r>
            <w:r>
              <w:rPr>
                <w:rFonts w:ascii="Calibri" w:hAnsi="Calibri" w:eastAsia="Calibri"/>
                <w:b w:val="0"/>
                <w:i w:val="0"/>
                <w:color w:val="000000"/>
                <w:sz w:val="17"/>
              </w:rPr>
              <w:t>Las alertas usarán condiciones definidas y accionables.</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5xx &gt; 2 % por 5 min, p95 &gt; 2x objetivo por 10 min o proyección de incumplimiento del SLO.</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Pre/Op: prueba de cada regla.</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RNF-MVP-126</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Tiempo de detección. </w:t>
            </w:r>
            <w:r>
              <w:rPr>
                <w:rFonts w:ascii="Calibri" w:hAnsi="Calibri" w:eastAsia="Calibri"/>
                <w:b w:val="0"/>
                <w:i w:val="0"/>
                <w:color w:val="000000"/>
                <w:sz w:val="17"/>
              </w:rPr>
              <w:t>Una falla crítica inyectada se detectará con rapidez.</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MTTD &lt;= 10 min.</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simulacro y línea de tiempo.</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RNF-MVP-127</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Tiempo de atención. </w:t>
            </w:r>
            <w:r>
              <w:rPr>
                <w:rFonts w:ascii="Calibri" w:hAnsi="Calibri" w:eastAsia="Calibri"/>
                <w:b w:val="0"/>
                <w:i w:val="0"/>
                <w:color w:val="000000"/>
                <w:sz w:val="17"/>
              </w:rPr>
              <w:t>Una alerta crítica recibirá reconocimiento operativo.</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MTTA &lt;= 30 min durante la cobertura declarada.</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Op: historial de alertas y guardia.</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RNF-MVP-128</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Privacidad de telemetría. </w:t>
            </w:r>
            <w:r>
              <w:rPr>
                <w:rFonts w:ascii="Calibri" w:hAnsi="Calibri" w:eastAsia="Calibri"/>
                <w:b w:val="0"/>
                <w:i w:val="0"/>
                <w:color w:val="000000"/>
                <w:sz w:val="17"/>
              </w:rPr>
              <w:t>La observabilidad cumplirá las reglas de minimización.</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0 secretos o contenido privado prohibido en una muestra automatizada diaria.</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Pre/Op: escáner y revisión de incidentes.</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RNF-MVP-129</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Retención de registros. </w:t>
            </w:r>
            <w:r>
              <w:rPr>
                <w:rFonts w:ascii="Calibri" w:hAnsi="Calibri" w:eastAsia="Calibri"/>
                <w:b w:val="0"/>
                <w:i w:val="0"/>
                <w:color w:val="000000"/>
                <w:sz w:val="17"/>
              </w:rPr>
              <w:t>La evidencia tendrá ventanas diferenciadas según su finalidad.</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Logs operativos &gt;= 90 días; eventos de seguridad y auditoría &gt;= 12 meses, sujetos a retención aplicable.</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Op: política y verificación mensual de disponibilidad.</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RNF-MVP-130</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Contenido de auditoría. </w:t>
            </w:r>
            <w:r>
              <w:rPr>
                <w:rFonts w:ascii="Calibri" w:hAnsi="Calibri" w:eastAsia="Calibri"/>
                <w:b w:val="0"/>
                <w:i w:val="0"/>
                <w:color w:val="000000"/>
                <w:sz w:val="17"/>
              </w:rPr>
              <w:t>Las acciones privilegiadas serán explicables y atribuibles.</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100 % con actor, rol, objeto, acción, antes/después, motivo, hora y correlación.</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casos CE-09, CE-10 y CE-14.</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RNF-MVP-131</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Resistencia de auditoría. </w:t>
            </w:r>
            <w:r>
              <w:rPr>
                <w:rFonts w:ascii="Calibri" w:hAnsi="Calibri" w:eastAsia="Calibri"/>
                <w:b w:val="0"/>
                <w:i w:val="0"/>
                <w:color w:val="000000"/>
                <w:sz w:val="17"/>
              </w:rPr>
              <w:t>Los usuarios operativos no podrán modificar silenciosamente el historial.</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Almacenamiento append-only o control equivalente; alteración no autorizada detectada &lt;= 5 min.</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Pre/Op: prueba de permisos e integridad.</w:t>
            </w:r>
          </w:p>
        </w:tc>
      </w:tr>
    </w:tbl>
    <w:p>
      <w:pPr>
        <w:pStyle w:val="SmallNote"/>
        <w:spacing w:after="40"/>
      </w:pPr>
    </w:p>
    <w:p>
      <w:pPr>
        <w:pStyle w:val="Heading1"/>
      </w:pPr>
      <w:r>
        <w:t>14. Mantenibilidad, pruebas y despliegue</w:t>
      </w:r>
    </w:p>
    <w:p>
      <w:pPr>
        <w:keepNext/>
      </w:pPr>
      <w:r>
        <w:t>Permitir que el MVP evolucione por módulos, conserve trazabilidad y pueda liberarse o revertirse con pruebas automáticas y cambios controlados.</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700"/>
        <w:gridCol w:w="7660"/>
      </w:tblGrid>
      <w:tr>
        <w:trPr>
          <w:tblHeader w:val="true"/>
          <w:cantSplit/>
        </w:trPr>
        <w:tc>
          <w:tcPr>
            <w:tcW w:type="dxa" w:w="17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Trazabilidad</w:t>
            </w:r>
          </w:p>
        </w:tc>
        <w:tc>
          <w:tcPr>
            <w:tcW w:type="dxa" w:w="76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Cobertura</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7"/>
              </w:rPr>
              <w:t>Módulos</w:t>
            </w:r>
          </w:p>
        </w:tc>
        <w:tc>
          <w:tcPr>
            <w:tcW w:type="dxa" w:w="7660"/>
            <w:tcMar>
              <w:top w:w="80" w:type="dxa"/>
              <w:start w:w="120" w:type="dxa"/>
              <w:bottom w:w="80" w:type="dxa"/>
              <w:end w:w="120" w:type="dxa"/>
            </w:tcMar>
            <w:vAlign w:val="center"/>
          </w:tcPr>
          <w:p>
            <w:pPr>
              <w:pStyle w:val="TableText"/>
            </w:pPr>
            <w:r/>
            <w:r>
              <w:rPr>
                <w:rFonts w:ascii="Calibri" w:hAnsi="Calibri" w:eastAsia="Calibri"/>
                <w:b w:val="0"/>
                <w:i w:val="0"/>
                <w:color w:val="000000"/>
                <w:sz w:val="17"/>
              </w:rPr>
              <w:t>M01-M19; énfasis en propietarios P0 y normalización de M06</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7"/>
              </w:rPr>
              <w:t>Criterios y flujos</w:t>
            </w:r>
          </w:p>
        </w:tc>
        <w:tc>
          <w:tcPr>
            <w:tcW w:type="dxa" w:w="7660"/>
            <w:tcMar>
              <w:top w:w="80" w:type="dxa"/>
              <w:start w:w="120" w:type="dxa"/>
              <w:bottom w:w="80" w:type="dxa"/>
              <w:end w:w="120" w:type="dxa"/>
            </w:tcMar>
            <w:vAlign w:val="center"/>
          </w:tcPr>
          <w:p>
            <w:pPr>
              <w:pStyle w:val="TableText"/>
            </w:pPr>
            <w:r/>
            <w:r>
              <w:rPr>
                <w:rFonts w:ascii="Calibri" w:hAnsi="Calibri" w:eastAsia="Calibri"/>
                <w:b w:val="0"/>
                <w:i w:val="0"/>
                <w:color w:val="000000"/>
                <w:sz w:val="17"/>
              </w:rPr>
              <w:t>CE-01 a CE-14; F01 a F10</w:t>
            </w:r>
          </w:p>
        </w:tc>
      </w:tr>
    </w:tbl>
    <w:p>
      <w:pPr>
        <w:pStyle w:val="SmallNote"/>
        <w:spacing w:after="40"/>
      </w:pP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900"/>
        <w:gridCol w:w="3400"/>
        <w:gridCol w:w="2600"/>
        <w:gridCol w:w="2460"/>
      </w:tblGrid>
      <w:tr>
        <w:trPr>
          <w:tblHeader w:val="true"/>
          <w:cantSplit/>
        </w:trPr>
        <w:tc>
          <w:tcPr>
            <w:tcW w:type="dxa" w:w="90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ID</w:t>
            </w:r>
          </w:p>
        </w:tc>
        <w:tc>
          <w:tcPr>
            <w:tcW w:type="dxa" w:w="340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Requisito</w:t>
            </w:r>
          </w:p>
        </w:tc>
        <w:tc>
          <w:tcPr>
            <w:tcW w:type="dxa" w:w="260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Métrica y umbral</w:t>
            </w:r>
          </w:p>
        </w:tc>
        <w:tc>
          <w:tcPr>
            <w:tcW w:type="dxa" w:w="246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Verificación y evidencia</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RNF-MVP-132</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Propiedad modular. </w:t>
            </w:r>
            <w:r>
              <w:rPr>
                <w:rFonts w:ascii="Calibri" w:hAnsi="Calibri" w:eastAsia="Calibri"/>
                <w:b w:val="0"/>
                <w:i w:val="0"/>
                <w:color w:val="000000"/>
                <w:sz w:val="17"/>
              </w:rPr>
              <w:t>Cada componente y dato tendrá un módulo propietario y respetará la redistribución definida para M06.</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100 % de componentes cambiados con propietario; 0 implementaciones canónicas duplicadas.</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Pre/Cont: revisión de arquitectura y repositorio.</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RNF-MVP-133</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Contratos versionados. </w:t>
            </w:r>
            <w:r>
              <w:rPr>
                <w:rFonts w:ascii="Calibri" w:hAnsi="Calibri" w:eastAsia="Calibri"/>
                <w:b w:val="0"/>
                <w:i w:val="0"/>
                <w:color w:val="000000"/>
                <w:sz w:val="17"/>
              </w:rPr>
              <w:t>Interfaces, eventos y esquemas compartidos tendrán versión y compatibilidad declaradas.</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100 % de contratos públicos versionados; cambio incompatible con plan de migración.</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catálogo de contratos y prueba de consumidor.</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RNF-MVP-134</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Trazabilidad técnica. </w:t>
            </w:r>
            <w:r>
              <w:rPr>
                <w:rFonts w:ascii="Calibri" w:hAnsi="Calibri" w:eastAsia="Calibri"/>
                <w:b w:val="0"/>
                <w:i w:val="0"/>
                <w:color w:val="000000"/>
                <w:sz w:val="17"/>
              </w:rPr>
              <w:t>El trabajo implementado conservará vínculo con la línea base.</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100 % de historias, cambios y pruebas enlazados a RF/RN, RNF y CE aplicables.</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reporte automático de trazabilidad.</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RNF-MVP-135</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Cobertura unitaria. </w:t>
            </w:r>
            <w:r>
              <w:rPr>
                <w:rFonts w:ascii="Calibri" w:hAnsi="Calibri" w:eastAsia="Calibri"/>
                <w:b w:val="0"/>
                <w:i w:val="0"/>
                <w:color w:val="000000"/>
                <w:sz w:val="17"/>
              </w:rPr>
              <w:t>La lógica de dominio y aplicación tendrá una red de pruebas mínima.</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&gt;= 80 % de líneas y &gt;= 70 % de ramas, sin excluir archivos críticos para inflar el resultado.</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reporte de cobertura del artefacto.</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RNF-MVP-136</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Pruebas de integración. </w:t>
            </w:r>
            <w:r>
              <w:rPr>
                <w:rFonts w:ascii="Calibri" w:hAnsi="Calibri" w:eastAsia="Calibri"/>
                <w:b w:val="0"/>
                <w:i w:val="0"/>
                <w:color w:val="000000"/>
                <w:sz w:val="17"/>
              </w:rPr>
              <w:t>Los límites entre persistencia, autenticación, player, publicación y progreso se verificarán.</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Al menos una prueba positiva y una negativa por límite; F01-F10 cubiertos.</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suite de integración aprobada.</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RNF-MVP-137</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Pruebas de extremo a extremo. </w:t>
            </w:r>
            <w:r>
              <w:rPr>
                <w:rFonts w:ascii="Calibri" w:hAnsi="Calibri" w:eastAsia="Calibri"/>
                <w:b w:val="0"/>
                <w:i w:val="0"/>
                <w:color w:val="000000"/>
                <w:sz w:val="17"/>
              </w:rPr>
              <w:t>El candidato de liberación demostrará las puertas funcionales completas.</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CE-01 a CE-14 aprobados al 100 % en el mismo candidato.</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ejecución E2E y evidencias.</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RNF-MVP-138</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Estabilidad de pruebas. </w:t>
            </w:r>
            <w:r>
              <w:rPr>
                <w:rFonts w:ascii="Calibri" w:hAnsi="Calibri" w:eastAsia="Calibri"/>
                <w:b w:val="0"/>
                <w:i w:val="0"/>
                <w:color w:val="000000"/>
                <w:sz w:val="17"/>
              </w:rPr>
              <w:t>Las pruebas intermitentes no ocultarán el estado real del producto.</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Tasa flaky &lt; 1 % en 50 ejecuciones; pruebas aisladas no cuentan para liberar.</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Pre/Cont: historial de CI.</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RNF-MVP-139</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Duración de integración continua. </w:t>
            </w:r>
            <w:r>
              <w:rPr>
                <w:rFonts w:ascii="Calibri" w:hAnsi="Calibri" w:eastAsia="Calibri"/>
                <w:b w:val="0"/>
                <w:i w:val="0"/>
                <w:color w:val="000000"/>
                <w:sz w:val="17"/>
              </w:rPr>
              <w:t>La retroalimentación automática será suficientemente rápida para el desarrollo.</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Pipeline principal p95 &lt;= 15 min.</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Cont: métricas de las últimas 30 ejecuciones.</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RNF-MVP-140</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Revisión de cambios. </w:t>
            </w:r>
            <w:r>
              <w:rPr>
                <w:rFonts w:ascii="Calibri" w:hAnsi="Calibri" w:eastAsia="Calibri"/>
                <w:b w:val="0"/>
                <w:i w:val="0"/>
                <w:color w:val="000000"/>
                <w:sz w:val="17"/>
              </w:rPr>
              <w:t>Los cambios a ramas protegidas tendrán revisión independiente.</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100 % con al menos una aprobación; dos para autenticación, permisos, criptografía o migraciones destructivas.</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Pre/Cont: reglas de repositorio y auditoría de PR.</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RNF-MVP-141</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Inventario de componentes. </w:t>
            </w:r>
            <w:r>
              <w:rPr>
                <w:rFonts w:ascii="Calibri" w:hAnsi="Calibri" w:eastAsia="Calibri"/>
                <w:b w:val="0"/>
                <w:i w:val="0"/>
                <w:color w:val="000000"/>
                <w:sz w:val="17"/>
              </w:rPr>
              <w:t>Cada liberación identificará exactamente sus dependencias.</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SBOM y archivos de bloqueo generados para el 100 % de candidatos.</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artefactos firmados o asociados a la versión.</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RNF-MVP-142</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Migraciones de datos. </w:t>
            </w:r>
            <w:r>
              <w:rPr>
                <w:rFonts w:ascii="Calibri" w:hAnsi="Calibri" w:eastAsia="Calibri"/>
                <w:b w:val="0"/>
                <w:i w:val="0"/>
                <w:color w:val="000000"/>
                <w:sz w:val="17"/>
              </w:rPr>
              <w:t>Los cambios de esquema serán repetibles y recuperables.</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Automatizados, probados con volumen nominal y con rollback o recuperación hacia adelante &lt;= 15 min.</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ensayo de migración y comparación de integridad.</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RNF-MVP-143</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Despliegue y reversión. </w:t>
            </w:r>
            <w:r>
              <w:rPr>
                <w:rFonts w:ascii="Calibri" w:hAnsi="Calibri" w:eastAsia="Calibri"/>
                <w:b w:val="0"/>
                <w:i w:val="0"/>
                <w:color w:val="000000"/>
                <w:sz w:val="17"/>
              </w:rPr>
              <w:t>Un candidato defectuoso podrá retirarse sin editar datos manualmente.</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Health checks obligatorios; rollback de aplicación &lt;= 15 min; configuración externa y 0 secretos en artefactos.</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Pre/Op: simulacro de despliegue y reversión.</w:t>
            </w:r>
          </w:p>
        </w:tc>
      </w:tr>
    </w:tbl>
    <w:p>
      <w:pPr>
        <w:pStyle w:val="SmallNote"/>
        <w:spacing w:after="40"/>
      </w:pPr>
    </w:p>
    <w:p>
      <w:pPr>
        <w:pStyle w:val="Heading1"/>
      </w:pPr>
      <w:r>
        <w:t>15. Integridad de datos, contenido y dependencia de YouTube</w:t>
      </w:r>
    </w:p>
    <w:p>
      <w:pPr>
        <w:keepNext/>
      </w:pPr>
      <w:r>
        <w:t>Conservar la relación exacta entre canción, grabación, letra, traducción, análisis, ejercicio y progreso, y limitar el reproductor externo a su función autorizada.</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700"/>
        <w:gridCol w:w="7660"/>
      </w:tblGrid>
      <w:tr>
        <w:trPr>
          <w:tblHeader w:val="true"/>
          <w:cantSplit/>
        </w:trPr>
        <w:tc>
          <w:tcPr>
            <w:tcW w:type="dxa" w:w="17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Trazabilidad</w:t>
            </w:r>
          </w:p>
        </w:tc>
        <w:tc>
          <w:tcPr>
            <w:tcW w:type="dxa" w:w="76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Cobertura</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7"/>
              </w:rPr>
              <w:t>Módulos</w:t>
            </w:r>
          </w:p>
        </w:tc>
        <w:tc>
          <w:tcPr>
            <w:tcW w:type="dxa" w:w="7660"/>
            <w:tcMar>
              <w:top w:w="80" w:type="dxa"/>
              <w:start w:w="120" w:type="dxa"/>
              <w:bottom w:w="80" w:type="dxa"/>
              <w:end w:w="120" w:type="dxa"/>
            </w:tcMar>
            <w:vAlign w:val="center"/>
          </w:tcPr>
          <w:p>
            <w:pPr>
              <w:pStyle w:val="TableText"/>
            </w:pPr>
            <w:r/>
            <w:r>
              <w:rPr>
                <w:rFonts w:ascii="Calibri" w:hAnsi="Calibri" w:eastAsia="Calibri"/>
                <w:b w:val="0"/>
                <w:i w:val="0"/>
                <w:color w:val="000000"/>
                <w:sz w:val="17"/>
              </w:rPr>
              <w:t>M02-M09, M15, M18 y M19</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7"/>
              </w:rPr>
              <w:t>Criterios y flujos</w:t>
            </w:r>
          </w:p>
        </w:tc>
        <w:tc>
          <w:tcPr>
            <w:tcW w:type="dxa" w:w="7660"/>
            <w:tcMar>
              <w:top w:w="80" w:type="dxa"/>
              <w:start w:w="120" w:type="dxa"/>
              <w:bottom w:w="80" w:type="dxa"/>
              <w:end w:w="120" w:type="dxa"/>
            </w:tcMar>
            <w:vAlign w:val="center"/>
          </w:tcPr>
          <w:p>
            <w:pPr>
              <w:pStyle w:val="TableText"/>
            </w:pPr>
            <w:r/>
            <w:r>
              <w:rPr>
                <w:rFonts w:ascii="Calibri" w:hAnsi="Calibri" w:eastAsia="Calibri"/>
                <w:b w:val="0"/>
                <w:i w:val="0"/>
                <w:color w:val="000000"/>
                <w:sz w:val="17"/>
              </w:rPr>
              <w:t>CE-02 a CE-12 y CE-14; F02 a F10</w:t>
            </w:r>
          </w:p>
        </w:tc>
      </w:tr>
    </w:tbl>
    <w:p>
      <w:pPr>
        <w:pStyle w:val="SmallNote"/>
        <w:spacing w:after="40"/>
      </w:pP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900"/>
        <w:gridCol w:w="3400"/>
        <w:gridCol w:w="2600"/>
        <w:gridCol w:w="2460"/>
      </w:tblGrid>
      <w:tr>
        <w:trPr>
          <w:tblHeader w:val="true"/>
          <w:cantSplit/>
        </w:trPr>
        <w:tc>
          <w:tcPr>
            <w:tcW w:type="dxa" w:w="90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ID</w:t>
            </w:r>
          </w:p>
        </w:tc>
        <w:tc>
          <w:tcPr>
            <w:tcW w:type="dxa" w:w="340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Requisito</w:t>
            </w:r>
          </w:p>
        </w:tc>
        <w:tc>
          <w:tcPr>
            <w:tcW w:type="dxa" w:w="260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Métrica y umbral</w:t>
            </w:r>
          </w:p>
        </w:tc>
        <w:tc>
          <w:tcPr>
            <w:tcW w:type="dxa" w:w="2460"/>
            <w:shd w:fill="E8EEF5"/>
            <w:tcMar>
              <w:top w:w="80" w:type="dxa"/>
              <w:start w:w="120" w:type="dxa"/>
              <w:bottom w:w="80" w:type="dxa"/>
              <w:end w:w="120" w:type="dxa"/>
            </w:tcMar>
            <w:vAlign w:val="center"/>
          </w:tcPr>
          <w:p>
            <w:pPr>
              <w:pStyle w:val="TableHeader"/>
              <w:jc w:val="center"/>
            </w:pPr>
            <w:r/>
            <w:r>
              <w:rPr>
                <w:rFonts w:ascii="Calibri" w:hAnsi="Calibri" w:eastAsia="Calibri"/>
                <w:b/>
                <w:i w:val="0"/>
                <w:color w:val="0B2545"/>
                <w:sz w:val="16"/>
              </w:rPr>
              <w:t>Verificación y evidencia</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RNF-MVP-144</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Integridad referencial. </w:t>
            </w:r>
            <w:r>
              <w:rPr>
                <w:rFonts w:ascii="Calibri" w:hAnsi="Calibri" w:eastAsia="Calibri"/>
                <w:b w:val="0"/>
                <w:i w:val="0"/>
                <w:color w:val="000000"/>
                <w:sz w:val="17"/>
              </w:rPr>
              <w:t>Las entidades canónicas no conservarán referencias huérfanas.</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0 huérfanos en verificación previa a liberar y control automático diario.</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Pre/Op: consulta de integridad y restricciones de base.</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RNF-MVP-145</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Versión publicada. </w:t>
            </w:r>
            <w:r>
              <w:rPr>
                <w:rFonts w:ascii="Calibri" w:hAnsi="Calibri" w:eastAsia="Calibri"/>
                <w:b w:val="0"/>
                <w:i w:val="0"/>
                <w:color w:val="000000"/>
                <w:sz w:val="17"/>
              </w:rPr>
              <w:t>El contenido publicado será inmutable como evidencia histórica.</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100 % de correcciones crean nueva revisión; la reversión conserva versión, actor y motivo.</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publicar, corregir, revertir y comparar historial.</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RNF-MVP-146</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Procedencia y derechos. </w:t>
            </w:r>
            <w:r>
              <w:rPr>
                <w:rFonts w:ascii="Calibri" w:hAnsi="Calibri" w:eastAsia="Calibri"/>
                <w:b w:val="0"/>
                <w:i w:val="0"/>
                <w:color w:val="000000"/>
                <w:sz w:val="17"/>
              </w:rPr>
              <w:t>Ningún contenido educativo llegará a estado publicado sin su información mínima de uso.</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100 % de canciones, letras, traducciones y recursos con procedencia, estado y alcance; faltante bloquea publicación.</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Pre/Op: regla de validación y muestreo de catálogo.</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RNF-MVP-147</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Edición controlada. </w:t>
            </w:r>
            <w:r>
              <w:rPr>
                <w:rFonts w:ascii="Calibri" w:hAnsi="Calibri" w:eastAsia="Calibri"/>
                <w:b w:val="0"/>
                <w:i w:val="0"/>
                <w:color w:val="000000"/>
                <w:sz w:val="17"/>
              </w:rPr>
              <w:t>La curaduría normal no requerirá cambios directos en producción.</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0 ediciones directas de base; excepción con ticket, doble aprobación y auditoría completa.</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Pre/Op: revisión de permisos y bitácora.</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RNF-MVP-148</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Evidencia lógica única. </w:t>
            </w:r>
            <w:r>
              <w:rPr>
                <w:rFonts w:ascii="Calibri" w:hAnsi="Calibri" w:eastAsia="Calibri"/>
                <w:b w:val="0"/>
                <w:i w:val="0"/>
                <w:color w:val="000000"/>
                <w:sz w:val="17"/>
              </w:rPr>
              <w:t>Un reintento de respuesta o guardado modificará el progreso una sola vez.</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1 evidencia lógica y 1 actualización de progreso para cualquier número de reintentos idénticos.</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 concurrencia y repetición de la misma operación.</w:t>
            </w:r>
          </w:p>
        </w:tc>
      </w:tr>
      <w:tr>
        <w:trPr>
          <w:cantSplit/>
        </w:trPr>
        <w:tc>
          <w:tcPr>
            <w:tcW w:type="dxa" w:w="900"/>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RNF-MVP-149</w:t>
            </w:r>
          </w:p>
        </w:tc>
        <w:tc>
          <w:tcPr>
            <w:tcW w:type="dxa" w:w="3400"/>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Degradación de YouTube. </w:t>
            </w:r>
            <w:r>
              <w:rPr>
                <w:rFonts w:ascii="Calibri" w:hAnsi="Calibri" w:eastAsia="Calibri"/>
                <w:b w:val="0"/>
                <w:i w:val="0"/>
                <w:color w:val="000000"/>
                <w:sz w:val="17"/>
              </w:rPr>
              <w:t>Un error del player se convertirá en un estado comprensible sin borrar la experiencia educativa.</w:t>
            </w:r>
          </w:p>
        </w:tc>
        <w:tc>
          <w:tcPr>
            <w:tcW w:type="dxa" w:w="2600"/>
            <w:tcMar>
              <w:top w:w="80" w:type="dxa"/>
              <w:start w:w="120" w:type="dxa"/>
              <w:bottom w:w="80" w:type="dxa"/>
              <w:end w:w="120" w:type="dxa"/>
            </w:tcMar>
            <w:vAlign w:val="center"/>
          </w:tcPr>
          <w:p>
            <w:pPr>
              <w:pStyle w:val="TableText"/>
            </w:pPr>
            <w:r/>
            <w:r>
              <w:rPr>
                <w:rFonts w:ascii="Calibri" w:hAnsi="Calibri" w:eastAsia="Calibri"/>
                <w:b w:val="0"/>
                <w:i w:val="0"/>
                <w:color w:val="000000"/>
                <w:sz w:val="16"/>
              </w:rPr>
              <w:t>Detección y mensaje &lt;= 2 s; letra, traducción y análisis propios permanecen accesibles.</w:t>
            </w:r>
          </w:p>
        </w:tc>
        <w:tc>
          <w:tcPr>
            <w:tcW w:type="dxa" w:w="2460"/>
            <w:tcMar>
              <w:top w:w="80" w:type="dxa"/>
              <w:start w:w="120" w:type="dxa"/>
              <w:bottom w:w="80" w:type="dxa"/>
              <w:end w:w="120" w:type="dxa"/>
            </w:tcMar>
            <w:vAlign w:val="center"/>
          </w:tcPr>
          <w:p>
            <w:pPr>
              <w:pStyle w:val="TableText"/>
            </w:pPr>
            <w:r/>
            <w:r>
              <w:rPr>
                <w:rFonts w:ascii="Calibri" w:hAnsi="Calibri" w:eastAsia="Calibri"/>
                <w:b w:val="0"/>
                <w:i w:val="0"/>
                <w:color w:val="000000"/>
                <w:sz w:val="16"/>
              </w:rPr>
              <w:t>Pre/Op: errores de player, video no embebible y bloqueo de red.</w:t>
            </w:r>
          </w:p>
        </w:tc>
      </w:tr>
      <w:tr>
        <w:trPr>
          <w:cantSplit/>
        </w:trPr>
        <w:tc>
          <w:tcPr>
            <w:tcW w:type="dxa" w:w="900"/>
            <w:shd w:fill="F8FAFC"/>
            <w:tcMar>
              <w:top w:w="80" w:type="dxa"/>
              <w:start w:w="120" w:type="dxa"/>
              <w:bottom w:w="80" w:type="dxa"/>
              <w:end w:w="120" w:type="dxa"/>
            </w:tcMar>
            <w:vAlign w:val="center"/>
          </w:tcPr>
          <w:p>
            <w:pPr>
              <w:pStyle w:val="TableText"/>
              <w:jc w:val="center"/>
            </w:pPr>
            <w:r/>
            <w:r>
              <w:rPr>
                <w:rFonts w:ascii="Calibri" w:hAnsi="Calibri" w:eastAsia="Calibri"/>
                <w:b/>
                <w:i w:val="0"/>
                <w:color w:val="1F4D78"/>
                <w:sz w:val="16"/>
              </w:rPr>
              <w:t>RNF-MVP-150</w:t>
            </w:r>
          </w:p>
        </w:tc>
        <w:tc>
          <w:tcPr>
            <w:tcW w:type="dxa" w:w="3400"/>
            <w:shd w:fill="F8FAFC"/>
            <w:tcMar>
              <w:top w:w="80" w:type="dxa"/>
              <w:start w:w="120" w:type="dxa"/>
              <w:bottom w:w="80" w:type="dxa"/>
              <w:end w:w="120" w:type="dxa"/>
            </w:tcMar>
            <w:vAlign w:val="center"/>
          </w:tcPr>
          <w:p>
            <w:pPr>
              <w:pStyle w:val="TableText"/>
            </w:pPr>
            <w:r/>
            <w:r>
              <w:rPr>
                <w:rFonts w:ascii="Calibri" w:hAnsi="Calibri" w:eastAsia="Calibri"/>
                <w:b/>
                <w:i w:val="0"/>
                <w:color w:val="0B2545"/>
                <w:sz w:val="17"/>
              </w:rPr>
              <w:t xml:space="preserve">Única dependencia externa. </w:t>
            </w:r>
            <w:r>
              <w:rPr>
                <w:rFonts w:ascii="Calibri" w:hAnsi="Calibri" w:eastAsia="Calibri"/>
                <w:b w:val="0"/>
                <w:i w:val="0"/>
                <w:color w:val="000000"/>
                <w:sz w:val="17"/>
              </w:rPr>
              <w:t>La ejecución del MVP no enviará contenido a servicios externos ni copiará el audiovisual de YouTube.</w:t>
            </w:r>
          </w:p>
        </w:tc>
        <w:tc>
          <w:tcPr>
            <w:tcW w:type="dxa" w:w="260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Captura F01-F10 con 0 destinos externos no autorizados; se almacena solo identificador/referencia y metadatos propios, nunca bytes de audio o video.</w:t>
            </w:r>
          </w:p>
        </w:tc>
        <w:tc>
          <w:tcPr>
            <w:tcW w:type="dxa" w:w="2460"/>
            <w:shd w:fill="F8FAFC"/>
            <w:tcMar>
              <w:top w:w="80" w:type="dxa"/>
              <w:start w:w="120" w:type="dxa"/>
              <w:bottom w:w="80" w:type="dxa"/>
              <w:end w:w="120" w:type="dxa"/>
            </w:tcMar>
            <w:vAlign w:val="center"/>
          </w:tcPr>
          <w:p>
            <w:pPr>
              <w:pStyle w:val="TableText"/>
            </w:pPr>
            <w:r/>
            <w:r>
              <w:rPr>
                <w:rFonts w:ascii="Calibri" w:hAnsi="Calibri" w:eastAsia="Calibri"/>
                <w:b w:val="0"/>
                <w:i w:val="0"/>
                <w:color w:val="000000"/>
                <w:sz w:val="16"/>
              </w:rPr>
              <w:t>Pre/Op: captura de red, inventario de destinos y revisión de almacenamiento.</w:t>
            </w:r>
          </w:p>
        </w:tc>
      </w:tr>
    </w:tbl>
    <w:p>
      <w:pPr>
        <w:pStyle w:val="SmallNote"/>
        <w:spacing w:after="40"/>
      </w:pPr>
    </w:p>
    <w:p>
      <w:r>
        <w:br w:type="page"/>
      </w:r>
    </w:p>
    <w:p>
      <w:pPr>
        <w:pStyle w:val="Heading1"/>
      </w:pPr>
      <w:r>
        <w:t>16. Trazabilidad a criterios, flujos y módulos</w:t>
      </w:r>
    </w:p>
    <w:p>
      <w:r>
        <w:t>La matriz relaciona cada bloque no funcional con las puertas funcionales del documento de alcance. La trazabilidad detallada de RF y RN permanece en el documento de priorización; este nivel evita repetir miles de identificadores sin perder cobertura.</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2100"/>
        <w:gridCol w:w="700"/>
        <w:gridCol w:w="3100"/>
        <w:gridCol w:w="3460"/>
      </w:tblGrid>
      <w:tr>
        <w:trPr>
          <w:tblHeader w:val="true"/>
          <w:cantSplit/>
        </w:trPr>
        <w:tc>
          <w:tcPr>
            <w:tcW w:type="dxa" w:w="21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Rango</w:t>
            </w:r>
          </w:p>
        </w:tc>
        <w:tc>
          <w:tcPr>
            <w:tcW w:type="dxa" w:w="7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Dom.</w:t>
            </w:r>
          </w:p>
        </w:tc>
        <w:tc>
          <w:tcPr>
            <w:tcW w:type="dxa" w:w="31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CE / Flujos</w:t>
            </w:r>
          </w:p>
        </w:tc>
        <w:tc>
          <w:tcPr>
            <w:tcW w:type="dxa" w:w="34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Módulos</w:t>
            </w:r>
          </w:p>
        </w:tc>
      </w:tr>
      <w:tr>
        <w:trPr>
          <w:cantSplit/>
        </w:trPr>
        <w:tc>
          <w:tcPr>
            <w:tcW w:type="dxa" w:w="2100"/>
            <w:tcMar>
              <w:top w:w="80" w:type="dxa"/>
              <w:start w:w="120" w:type="dxa"/>
              <w:bottom w:w="80" w:type="dxa"/>
              <w:end w:w="120" w:type="dxa"/>
            </w:tcMar>
            <w:vAlign w:val="center"/>
          </w:tcPr>
          <w:p>
            <w:pPr>
              <w:pStyle w:val="TableText"/>
            </w:pPr>
            <w:r/>
            <w:r>
              <w:rPr>
                <w:rFonts w:ascii="Calibri" w:hAnsi="Calibri" w:eastAsia="Calibri"/>
                <w:b w:val="0"/>
                <w:i w:val="0"/>
                <w:color w:val="000000"/>
                <w:sz w:val="16"/>
              </w:rPr>
              <w:t>RNF-MVP-001 a 010</w:t>
            </w:r>
          </w:p>
        </w:tc>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6"/>
              </w:rPr>
              <w:t>MED</w:t>
            </w:r>
          </w:p>
        </w:tc>
        <w:tc>
          <w:tcPr>
            <w:tcW w:type="dxa" w:w="31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CE-01 a CE-14; F01 a F10</w:t>
            </w:r>
          </w:p>
        </w:tc>
        <w:tc>
          <w:tcPr>
            <w:tcW w:type="dxa" w:w="3460"/>
            <w:tcMar>
              <w:top w:w="80" w:type="dxa"/>
              <w:start w:w="120" w:type="dxa"/>
              <w:bottom w:w="80" w:type="dxa"/>
              <w:end w:w="120" w:type="dxa"/>
            </w:tcMar>
            <w:vAlign w:val="center"/>
          </w:tcPr>
          <w:p>
            <w:pPr>
              <w:pStyle w:val="TableText"/>
            </w:pPr>
            <w:r/>
            <w:r>
              <w:rPr>
                <w:rFonts w:ascii="Calibri" w:hAnsi="Calibri" w:eastAsia="Calibri"/>
                <w:b w:val="0"/>
                <w:i w:val="0"/>
                <w:color w:val="000000"/>
                <w:sz w:val="16"/>
              </w:rPr>
              <w:t>M01-M19; aplicación transversal a los componentes P0</w:t>
            </w:r>
          </w:p>
        </w:tc>
      </w:tr>
      <w:tr>
        <w:trPr>
          <w:cantSplit/>
        </w:trPr>
        <w:tc>
          <w:tcPr>
            <w:tcW w:type="dxa" w:w="2100"/>
            <w:tcMar>
              <w:top w:w="80" w:type="dxa"/>
              <w:start w:w="120" w:type="dxa"/>
              <w:bottom w:w="80" w:type="dxa"/>
              <w:end w:w="120" w:type="dxa"/>
            </w:tcMar>
            <w:vAlign w:val="center"/>
          </w:tcPr>
          <w:p>
            <w:pPr>
              <w:pStyle w:val="TableText"/>
            </w:pPr>
            <w:r/>
            <w:r>
              <w:rPr>
                <w:rFonts w:ascii="Calibri" w:hAnsi="Calibri" w:eastAsia="Calibri"/>
                <w:b w:val="0"/>
                <w:i w:val="0"/>
                <w:color w:val="000000"/>
                <w:sz w:val="16"/>
              </w:rPr>
              <w:t>RNF-MVP-011 a 025</w:t>
            </w:r>
          </w:p>
        </w:tc>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6"/>
              </w:rPr>
              <w:t>REN</w:t>
            </w:r>
          </w:p>
        </w:tc>
        <w:tc>
          <w:tcPr>
            <w:tcW w:type="dxa" w:w="31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CE-01 a CE-09, CE-12 y CE-13; F01 a F09</w:t>
            </w:r>
          </w:p>
        </w:tc>
        <w:tc>
          <w:tcPr>
            <w:tcW w:type="dxa" w:w="3460"/>
            <w:tcMar>
              <w:top w:w="80" w:type="dxa"/>
              <w:start w:w="120" w:type="dxa"/>
              <w:bottom w:w="80" w:type="dxa"/>
              <w:end w:w="120" w:type="dxa"/>
            </w:tcMar>
            <w:vAlign w:val="center"/>
          </w:tcPr>
          <w:p>
            <w:pPr>
              <w:pStyle w:val="TableText"/>
            </w:pPr>
            <w:r/>
            <w:r>
              <w:rPr>
                <w:rFonts w:ascii="Calibri" w:hAnsi="Calibri" w:eastAsia="Calibri"/>
                <w:b w:val="0"/>
                <w:i w:val="0"/>
                <w:color w:val="000000"/>
                <w:sz w:val="16"/>
              </w:rPr>
              <w:t>M01-M09, M15, M18 y M19</w:t>
            </w:r>
          </w:p>
        </w:tc>
      </w:tr>
      <w:tr>
        <w:trPr>
          <w:cantSplit/>
        </w:trPr>
        <w:tc>
          <w:tcPr>
            <w:tcW w:type="dxa" w:w="2100"/>
            <w:tcMar>
              <w:top w:w="80" w:type="dxa"/>
              <w:start w:w="120" w:type="dxa"/>
              <w:bottom w:w="80" w:type="dxa"/>
              <w:end w:w="120" w:type="dxa"/>
            </w:tcMar>
            <w:vAlign w:val="center"/>
          </w:tcPr>
          <w:p>
            <w:pPr>
              <w:pStyle w:val="TableText"/>
            </w:pPr>
            <w:r/>
            <w:r>
              <w:rPr>
                <w:rFonts w:ascii="Calibri" w:hAnsi="Calibri" w:eastAsia="Calibri"/>
                <w:b w:val="0"/>
                <w:i w:val="0"/>
                <w:color w:val="000000"/>
                <w:sz w:val="16"/>
              </w:rPr>
              <w:t>RNF-MVP-026 a 037</w:t>
            </w:r>
          </w:p>
        </w:tc>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6"/>
              </w:rPr>
              <w:t>DIS</w:t>
            </w:r>
          </w:p>
        </w:tc>
        <w:tc>
          <w:tcPr>
            <w:tcW w:type="dxa" w:w="31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CE-01 a CE-14; F01 a F10</w:t>
            </w:r>
          </w:p>
        </w:tc>
        <w:tc>
          <w:tcPr>
            <w:tcW w:type="dxa" w:w="3460"/>
            <w:tcMar>
              <w:top w:w="80" w:type="dxa"/>
              <w:start w:w="120" w:type="dxa"/>
              <w:bottom w:w="80" w:type="dxa"/>
              <w:end w:w="120" w:type="dxa"/>
            </w:tcMar>
            <w:vAlign w:val="center"/>
          </w:tcPr>
          <w:p>
            <w:pPr>
              <w:pStyle w:val="TableText"/>
            </w:pPr>
            <w:r/>
            <w:r>
              <w:rPr>
                <w:rFonts w:ascii="Calibri" w:hAnsi="Calibri" w:eastAsia="Calibri"/>
                <w:b w:val="0"/>
                <w:i w:val="0"/>
                <w:color w:val="000000"/>
                <w:sz w:val="16"/>
              </w:rPr>
              <w:t>M01-M09, M15, M18 y M19</w:t>
            </w:r>
          </w:p>
        </w:tc>
      </w:tr>
      <w:tr>
        <w:trPr>
          <w:cantSplit/>
        </w:trPr>
        <w:tc>
          <w:tcPr>
            <w:tcW w:type="dxa" w:w="2100"/>
            <w:tcMar>
              <w:top w:w="80" w:type="dxa"/>
              <w:start w:w="120" w:type="dxa"/>
              <w:bottom w:w="80" w:type="dxa"/>
              <w:end w:w="120" w:type="dxa"/>
            </w:tcMar>
            <w:vAlign w:val="center"/>
          </w:tcPr>
          <w:p>
            <w:pPr>
              <w:pStyle w:val="TableText"/>
            </w:pPr>
            <w:r/>
            <w:r>
              <w:rPr>
                <w:rFonts w:ascii="Calibri" w:hAnsi="Calibri" w:eastAsia="Calibri"/>
                <w:b w:val="0"/>
                <w:i w:val="0"/>
                <w:color w:val="000000"/>
                <w:sz w:val="16"/>
              </w:rPr>
              <w:t>RNF-MVP-038 a 045</w:t>
            </w:r>
          </w:p>
        </w:tc>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6"/>
              </w:rPr>
              <w:t>CAP</w:t>
            </w:r>
          </w:p>
        </w:tc>
        <w:tc>
          <w:tcPr>
            <w:tcW w:type="dxa" w:w="31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CE-01 a CE-14; F01 a F10</w:t>
            </w:r>
          </w:p>
        </w:tc>
        <w:tc>
          <w:tcPr>
            <w:tcW w:type="dxa" w:w="3460"/>
            <w:tcMar>
              <w:top w:w="80" w:type="dxa"/>
              <w:start w:w="120" w:type="dxa"/>
              <w:bottom w:w="80" w:type="dxa"/>
              <w:end w:w="120" w:type="dxa"/>
            </w:tcMar>
            <w:vAlign w:val="center"/>
          </w:tcPr>
          <w:p>
            <w:pPr>
              <w:pStyle w:val="TableText"/>
            </w:pPr>
            <w:r/>
            <w:r>
              <w:rPr>
                <w:rFonts w:ascii="Calibri" w:hAnsi="Calibri" w:eastAsia="Calibri"/>
                <w:b w:val="0"/>
                <w:i w:val="0"/>
                <w:color w:val="000000"/>
                <w:sz w:val="16"/>
              </w:rPr>
              <w:t>M01-M09, M15, M18 y M19</w:t>
            </w:r>
          </w:p>
        </w:tc>
      </w:tr>
      <w:tr>
        <w:trPr>
          <w:cantSplit/>
        </w:trPr>
        <w:tc>
          <w:tcPr>
            <w:tcW w:type="dxa" w:w="2100"/>
            <w:tcMar>
              <w:top w:w="80" w:type="dxa"/>
              <w:start w:w="120" w:type="dxa"/>
              <w:bottom w:w="80" w:type="dxa"/>
              <w:end w:w="120" w:type="dxa"/>
            </w:tcMar>
            <w:vAlign w:val="center"/>
          </w:tcPr>
          <w:p>
            <w:pPr>
              <w:pStyle w:val="TableText"/>
            </w:pPr>
            <w:r/>
            <w:r>
              <w:rPr>
                <w:rFonts w:ascii="Calibri" w:hAnsi="Calibri" w:eastAsia="Calibri"/>
                <w:b w:val="0"/>
                <w:i w:val="0"/>
                <w:color w:val="000000"/>
                <w:sz w:val="16"/>
              </w:rPr>
              <w:t>RNF-MVP-046 a 067</w:t>
            </w:r>
          </w:p>
        </w:tc>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6"/>
              </w:rPr>
              <w:t>SEG</w:t>
            </w:r>
          </w:p>
        </w:tc>
        <w:tc>
          <w:tcPr>
            <w:tcW w:type="dxa" w:w="31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CE-01, CE-09, CE-10, CE-11 y CE-14; F01, F02 y F10</w:t>
            </w:r>
          </w:p>
        </w:tc>
        <w:tc>
          <w:tcPr>
            <w:tcW w:type="dxa" w:w="3460"/>
            <w:tcMar>
              <w:top w:w="80" w:type="dxa"/>
              <w:start w:w="120" w:type="dxa"/>
              <w:bottom w:w="80" w:type="dxa"/>
              <w:end w:w="120" w:type="dxa"/>
            </w:tcMar>
            <w:vAlign w:val="center"/>
          </w:tcPr>
          <w:p>
            <w:pPr>
              <w:pStyle w:val="TableText"/>
            </w:pPr>
            <w:r/>
            <w:r>
              <w:rPr>
                <w:rFonts w:ascii="Calibri" w:hAnsi="Calibri" w:eastAsia="Calibri"/>
                <w:b w:val="0"/>
                <w:i w:val="0"/>
                <w:color w:val="000000"/>
                <w:sz w:val="16"/>
              </w:rPr>
              <w:t>M01, M15, M18 y M19; controles transversales sobre M02-M09</w:t>
            </w:r>
          </w:p>
        </w:tc>
      </w:tr>
      <w:tr>
        <w:trPr>
          <w:cantSplit/>
        </w:trPr>
        <w:tc>
          <w:tcPr>
            <w:tcW w:type="dxa" w:w="2100"/>
            <w:tcMar>
              <w:top w:w="80" w:type="dxa"/>
              <w:start w:w="120" w:type="dxa"/>
              <w:bottom w:w="80" w:type="dxa"/>
              <w:end w:w="120" w:type="dxa"/>
            </w:tcMar>
            <w:vAlign w:val="center"/>
          </w:tcPr>
          <w:p>
            <w:pPr>
              <w:pStyle w:val="TableText"/>
            </w:pPr>
            <w:r/>
            <w:r>
              <w:rPr>
                <w:rFonts w:ascii="Calibri" w:hAnsi="Calibri" w:eastAsia="Calibri"/>
                <w:b w:val="0"/>
                <w:i w:val="0"/>
                <w:color w:val="000000"/>
                <w:sz w:val="16"/>
              </w:rPr>
              <w:t>RNF-MVP-068 a 079</w:t>
            </w:r>
          </w:p>
        </w:tc>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6"/>
              </w:rPr>
              <w:t>PRI</w:t>
            </w:r>
          </w:p>
        </w:tc>
        <w:tc>
          <w:tcPr>
            <w:tcW w:type="dxa" w:w="31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CE-01, CE-07, CE-08, CE-11, CE-12 y CE-14; F01, F07-F10</w:t>
            </w:r>
          </w:p>
        </w:tc>
        <w:tc>
          <w:tcPr>
            <w:tcW w:type="dxa" w:w="3460"/>
            <w:tcMar>
              <w:top w:w="80" w:type="dxa"/>
              <w:start w:w="120" w:type="dxa"/>
              <w:bottom w:w="80" w:type="dxa"/>
              <w:end w:w="120" w:type="dxa"/>
            </w:tcMar>
            <w:vAlign w:val="center"/>
          </w:tcPr>
          <w:p>
            <w:pPr>
              <w:pStyle w:val="TableText"/>
            </w:pPr>
            <w:r/>
            <w:r>
              <w:rPr>
                <w:rFonts w:ascii="Calibri" w:hAnsi="Calibri" w:eastAsia="Calibri"/>
                <w:b w:val="0"/>
                <w:i w:val="0"/>
                <w:color w:val="000000"/>
                <w:sz w:val="16"/>
              </w:rPr>
              <w:t>M01, M06-M09, M18 y M19</w:t>
            </w:r>
          </w:p>
        </w:tc>
      </w:tr>
      <w:tr>
        <w:trPr>
          <w:cantSplit/>
        </w:trPr>
        <w:tc>
          <w:tcPr>
            <w:tcW w:type="dxa" w:w="2100"/>
            <w:tcMar>
              <w:top w:w="80" w:type="dxa"/>
              <w:start w:w="120" w:type="dxa"/>
              <w:bottom w:w="80" w:type="dxa"/>
              <w:end w:w="120" w:type="dxa"/>
            </w:tcMar>
            <w:vAlign w:val="center"/>
          </w:tcPr>
          <w:p>
            <w:pPr>
              <w:pStyle w:val="TableText"/>
            </w:pPr>
            <w:r/>
            <w:r>
              <w:rPr>
                <w:rFonts w:ascii="Calibri" w:hAnsi="Calibri" w:eastAsia="Calibri"/>
                <w:b w:val="0"/>
                <w:i w:val="0"/>
                <w:color w:val="000000"/>
                <w:sz w:val="16"/>
              </w:rPr>
              <w:t>RNF-MVP-080 a 089</w:t>
            </w:r>
          </w:p>
        </w:tc>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6"/>
              </w:rPr>
              <w:t>REC</w:t>
            </w:r>
          </w:p>
        </w:tc>
        <w:tc>
          <w:tcPr>
            <w:tcW w:type="dxa" w:w="31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CE-01 a CE-14; F01 a F10</w:t>
            </w:r>
          </w:p>
        </w:tc>
        <w:tc>
          <w:tcPr>
            <w:tcW w:type="dxa" w:w="3460"/>
            <w:tcMar>
              <w:top w:w="80" w:type="dxa"/>
              <w:start w:w="120" w:type="dxa"/>
              <w:bottom w:w="80" w:type="dxa"/>
              <w:end w:w="120" w:type="dxa"/>
            </w:tcMar>
            <w:vAlign w:val="center"/>
          </w:tcPr>
          <w:p>
            <w:pPr>
              <w:pStyle w:val="TableText"/>
            </w:pPr>
            <w:r/>
            <w:r>
              <w:rPr>
                <w:rFonts w:ascii="Calibri" w:hAnsi="Calibri" w:eastAsia="Calibri"/>
                <w:b w:val="0"/>
                <w:i w:val="0"/>
                <w:color w:val="000000"/>
                <w:sz w:val="16"/>
              </w:rPr>
              <w:t>M01-M09, M15, M18 y M19</w:t>
            </w:r>
          </w:p>
        </w:tc>
      </w:tr>
      <w:tr>
        <w:trPr>
          <w:cantSplit/>
        </w:trPr>
        <w:tc>
          <w:tcPr>
            <w:tcW w:type="dxa" w:w="2100"/>
            <w:tcMar>
              <w:top w:w="80" w:type="dxa"/>
              <w:start w:w="120" w:type="dxa"/>
              <w:bottom w:w="80" w:type="dxa"/>
              <w:end w:w="120" w:type="dxa"/>
            </w:tcMar>
            <w:vAlign w:val="center"/>
          </w:tcPr>
          <w:p>
            <w:pPr>
              <w:pStyle w:val="TableText"/>
            </w:pPr>
            <w:r/>
            <w:r>
              <w:rPr>
                <w:rFonts w:ascii="Calibri" w:hAnsi="Calibri" w:eastAsia="Calibri"/>
                <w:b w:val="0"/>
                <w:i w:val="0"/>
                <w:color w:val="000000"/>
                <w:sz w:val="16"/>
              </w:rPr>
              <w:t>RNF-MVP-090 a 109</w:t>
            </w:r>
          </w:p>
        </w:tc>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6"/>
              </w:rPr>
              <w:t>ACC</w:t>
            </w:r>
          </w:p>
        </w:tc>
        <w:tc>
          <w:tcPr>
            <w:tcW w:type="dxa" w:w="31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CE-01 a CE-09 y CE-13; F01 a F09</w:t>
            </w:r>
          </w:p>
        </w:tc>
        <w:tc>
          <w:tcPr>
            <w:tcW w:type="dxa" w:w="3460"/>
            <w:tcMar>
              <w:top w:w="80" w:type="dxa"/>
              <w:start w:w="120" w:type="dxa"/>
              <w:bottom w:w="80" w:type="dxa"/>
              <w:end w:w="120" w:type="dxa"/>
            </w:tcMar>
            <w:vAlign w:val="center"/>
          </w:tcPr>
          <w:p>
            <w:pPr>
              <w:pStyle w:val="TableText"/>
            </w:pPr>
            <w:r/>
            <w:r>
              <w:rPr>
                <w:rFonts w:ascii="Calibri" w:hAnsi="Calibri" w:eastAsia="Calibri"/>
                <w:b w:val="0"/>
                <w:i w:val="0"/>
                <w:color w:val="000000"/>
                <w:sz w:val="16"/>
              </w:rPr>
              <w:t>M01, M03-M09, M15, M18 y M19</w:t>
            </w:r>
          </w:p>
        </w:tc>
      </w:tr>
      <w:tr>
        <w:trPr>
          <w:cantSplit/>
        </w:trPr>
        <w:tc>
          <w:tcPr>
            <w:tcW w:type="dxa" w:w="2100"/>
            <w:tcMar>
              <w:top w:w="80" w:type="dxa"/>
              <w:start w:w="120" w:type="dxa"/>
              <w:bottom w:w="80" w:type="dxa"/>
              <w:end w:w="120" w:type="dxa"/>
            </w:tcMar>
            <w:vAlign w:val="center"/>
          </w:tcPr>
          <w:p>
            <w:pPr>
              <w:pStyle w:val="TableText"/>
            </w:pPr>
            <w:r/>
            <w:r>
              <w:rPr>
                <w:rFonts w:ascii="Calibri" w:hAnsi="Calibri" w:eastAsia="Calibri"/>
                <w:b w:val="0"/>
                <w:i w:val="0"/>
                <w:color w:val="000000"/>
                <w:sz w:val="16"/>
              </w:rPr>
              <w:t>RNF-MVP-110 a 119</w:t>
            </w:r>
          </w:p>
        </w:tc>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6"/>
              </w:rPr>
              <w:t>COM</w:t>
            </w:r>
          </w:p>
        </w:tc>
        <w:tc>
          <w:tcPr>
            <w:tcW w:type="dxa" w:w="31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CE-01 a CE-13; F01 a F09</w:t>
            </w:r>
          </w:p>
        </w:tc>
        <w:tc>
          <w:tcPr>
            <w:tcW w:type="dxa" w:w="3460"/>
            <w:tcMar>
              <w:top w:w="80" w:type="dxa"/>
              <w:start w:w="120" w:type="dxa"/>
              <w:bottom w:w="80" w:type="dxa"/>
              <w:end w:w="120" w:type="dxa"/>
            </w:tcMar>
            <w:vAlign w:val="center"/>
          </w:tcPr>
          <w:p>
            <w:pPr>
              <w:pStyle w:val="TableText"/>
            </w:pPr>
            <w:r/>
            <w:r>
              <w:rPr>
                <w:rFonts w:ascii="Calibri" w:hAnsi="Calibri" w:eastAsia="Calibri"/>
                <w:b w:val="0"/>
                <w:i w:val="0"/>
                <w:color w:val="000000"/>
                <w:sz w:val="16"/>
              </w:rPr>
              <w:t>M01-M09, M15, M18 y M19</w:t>
            </w:r>
          </w:p>
        </w:tc>
      </w:tr>
      <w:tr>
        <w:trPr>
          <w:cantSplit/>
        </w:trPr>
        <w:tc>
          <w:tcPr>
            <w:tcW w:type="dxa" w:w="2100"/>
            <w:tcMar>
              <w:top w:w="80" w:type="dxa"/>
              <w:start w:w="120" w:type="dxa"/>
              <w:bottom w:w="80" w:type="dxa"/>
              <w:end w:w="120" w:type="dxa"/>
            </w:tcMar>
            <w:vAlign w:val="center"/>
          </w:tcPr>
          <w:p>
            <w:pPr>
              <w:pStyle w:val="TableText"/>
            </w:pPr>
            <w:r/>
            <w:r>
              <w:rPr>
                <w:rFonts w:ascii="Calibri" w:hAnsi="Calibri" w:eastAsia="Calibri"/>
                <w:b w:val="0"/>
                <w:i w:val="0"/>
                <w:color w:val="000000"/>
                <w:sz w:val="16"/>
              </w:rPr>
              <w:t>RNF-MVP-120 a 131</w:t>
            </w:r>
          </w:p>
        </w:tc>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6"/>
              </w:rPr>
              <w:t>OBS</w:t>
            </w:r>
          </w:p>
        </w:tc>
        <w:tc>
          <w:tcPr>
            <w:tcW w:type="dxa" w:w="31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CE-01 a CE-14; F01 a F10</w:t>
            </w:r>
          </w:p>
        </w:tc>
        <w:tc>
          <w:tcPr>
            <w:tcW w:type="dxa" w:w="3460"/>
            <w:tcMar>
              <w:top w:w="80" w:type="dxa"/>
              <w:start w:w="120" w:type="dxa"/>
              <w:bottom w:w="80" w:type="dxa"/>
              <w:end w:w="120" w:type="dxa"/>
            </w:tcMar>
            <w:vAlign w:val="center"/>
          </w:tcPr>
          <w:p>
            <w:pPr>
              <w:pStyle w:val="TableText"/>
            </w:pPr>
            <w:r/>
            <w:r>
              <w:rPr>
                <w:rFonts w:ascii="Calibri" w:hAnsi="Calibri" w:eastAsia="Calibri"/>
                <w:b w:val="0"/>
                <w:i w:val="0"/>
                <w:color w:val="000000"/>
                <w:sz w:val="16"/>
              </w:rPr>
              <w:t>M18 y M19; telemetría transversal sobre M01-M09 y M15</w:t>
            </w:r>
          </w:p>
        </w:tc>
      </w:tr>
      <w:tr>
        <w:trPr>
          <w:cantSplit/>
        </w:trPr>
        <w:tc>
          <w:tcPr>
            <w:tcW w:type="dxa" w:w="2100"/>
            <w:tcMar>
              <w:top w:w="80" w:type="dxa"/>
              <w:start w:w="120" w:type="dxa"/>
              <w:bottom w:w="80" w:type="dxa"/>
              <w:end w:w="120" w:type="dxa"/>
            </w:tcMar>
            <w:vAlign w:val="center"/>
          </w:tcPr>
          <w:p>
            <w:pPr>
              <w:pStyle w:val="TableText"/>
            </w:pPr>
            <w:r/>
            <w:r>
              <w:rPr>
                <w:rFonts w:ascii="Calibri" w:hAnsi="Calibri" w:eastAsia="Calibri"/>
                <w:b w:val="0"/>
                <w:i w:val="0"/>
                <w:color w:val="000000"/>
                <w:sz w:val="16"/>
              </w:rPr>
              <w:t>RNF-MVP-132 a 143</w:t>
            </w:r>
          </w:p>
        </w:tc>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6"/>
              </w:rPr>
              <w:t>MAN</w:t>
            </w:r>
          </w:p>
        </w:tc>
        <w:tc>
          <w:tcPr>
            <w:tcW w:type="dxa" w:w="31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CE-01 a CE-14; F01 a F10</w:t>
            </w:r>
          </w:p>
        </w:tc>
        <w:tc>
          <w:tcPr>
            <w:tcW w:type="dxa" w:w="3460"/>
            <w:tcMar>
              <w:top w:w="80" w:type="dxa"/>
              <w:start w:w="120" w:type="dxa"/>
              <w:bottom w:w="80" w:type="dxa"/>
              <w:end w:w="120" w:type="dxa"/>
            </w:tcMar>
            <w:vAlign w:val="center"/>
          </w:tcPr>
          <w:p>
            <w:pPr>
              <w:pStyle w:val="TableText"/>
            </w:pPr>
            <w:r/>
            <w:r>
              <w:rPr>
                <w:rFonts w:ascii="Calibri" w:hAnsi="Calibri" w:eastAsia="Calibri"/>
                <w:b w:val="0"/>
                <w:i w:val="0"/>
                <w:color w:val="000000"/>
                <w:sz w:val="16"/>
              </w:rPr>
              <w:t>M01-M19; énfasis en propietarios P0 y normalización de M06</w:t>
            </w:r>
          </w:p>
        </w:tc>
      </w:tr>
      <w:tr>
        <w:trPr>
          <w:cantSplit/>
        </w:trPr>
        <w:tc>
          <w:tcPr>
            <w:tcW w:type="dxa" w:w="2100"/>
            <w:tcMar>
              <w:top w:w="80" w:type="dxa"/>
              <w:start w:w="120" w:type="dxa"/>
              <w:bottom w:w="80" w:type="dxa"/>
              <w:end w:w="120" w:type="dxa"/>
            </w:tcMar>
            <w:vAlign w:val="center"/>
          </w:tcPr>
          <w:p>
            <w:pPr>
              <w:pStyle w:val="TableText"/>
            </w:pPr>
            <w:r/>
            <w:r>
              <w:rPr>
                <w:rFonts w:ascii="Calibri" w:hAnsi="Calibri" w:eastAsia="Calibri"/>
                <w:b w:val="0"/>
                <w:i w:val="0"/>
                <w:color w:val="000000"/>
                <w:sz w:val="16"/>
              </w:rPr>
              <w:t>RNF-MVP-144 a 150</w:t>
            </w:r>
          </w:p>
        </w:tc>
        <w:tc>
          <w:tcPr>
            <w:tcW w:type="dxa" w:w="700"/>
            <w:tcMar>
              <w:top w:w="80" w:type="dxa"/>
              <w:start w:w="120" w:type="dxa"/>
              <w:bottom w:w="80" w:type="dxa"/>
              <w:end w:w="120" w:type="dxa"/>
            </w:tcMar>
            <w:vAlign w:val="center"/>
          </w:tcPr>
          <w:p>
            <w:pPr>
              <w:pStyle w:val="TableText"/>
            </w:pPr>
            <w:r/>
            <w:r>
              <w:rPr>
                <w:rFonts w:ascii="Calibri" w:hAnsi="Calibri" w:eastAsia="Calibri"/>
                <w:b w:val="0"/>
                <w:i w:val="0"/>
                <w:color w:val="000000"/>
                <w:sz w:val="16"/>
              </w:rPr>
              <w:t>DAT</w:t>
            </w:r>
          </w:p>
        </w:tc>
        <w:tc>
          <w:tcPr>
            <w:tcW w:type="dxa" w:w="3100"/>
            <w:tcMar>
              <w:top w:w="80" w:type="dxa"/>
              <w:start w:w="120" w:type="dxa"/>
              <w:bottom w:w="80" w:type="dxa"/>
              <w:end w:w="120" w:type="dxa"/>
            </w:tcMar>
            <w:vAlign w:val="center"/>
          </w:tcPr>
          <w:p>
            <w:pPr>
              <w:pStyle w:val="TableText"/>
            </w:pPr>
            <w:r/>
            <w:r>
              <w:rPr>
                <w:rFonts w:ascii="Calibri" w:hAnsi="Calibri" w:eastAsia="Calibri"/>
                <w:b w:val="0"/>
                <w:i w:val="0"/>
                <w:color w:val="000000"/>
                <w:sz w:val="16"/>
              </w:rPr>
              <w:t>CE-02 a CE-12 y CE-14; F02 a F10</w:t>
            </w:r>
          </w:p>
        </w:tc>
        <w:tc>
          <w:tcPr>
            <w:tcW w:type="dxa" w:w="3460"/>
            <w:tcMar>
              <w:top w:w="80" w:type="dxa"/>
              <w:start w:w="120" w:type="dxa"/>
              <w:bottom w:w="80" w:type="dxa"/>
              <w:end w:w="120" w:type="dxa"/>
            </w:tcMar>
            <w:vAlign w:val="center"/>
          </w:tcPr>
          <w:p>
            <w:pPr>
              <w:pStyle w:val="TableText"/>
            </w:pPr>
            <w:r/>
            <w:r>
              <w:rPr>
                <w:rFonts w:ascii="Calibri" w:hAnsi="Calibri" w:eastAsia="Calibri"/>
                <w:b w:val="0"/>
                <w:i w:val="0"/>
                <w:color w:val="000000"/>
                <w:sz w:val="16"/>
              </w:rPr>
              <w:t>M02-M09, M15, M18 y M19</w:t>
            </w:r>
          </w:p>
        </w:tc>
      </w:tr>
    </w:tbl>
    <w:p>
      <w:pPr>
        <w:pStyle w:val="SmallNote"/>
        <w:spacing w:after="40"/>
      </w:pPr>
    </w:p>
    <w:p>
      <w:pPr>
        <w:pStyle w:val="Heading2"/>
      </w:pPr>
      <w:r>
        <w:t>16.1 Cobertura de las puertas CE</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900"/>
        <w:gridCol w:w="7460"/>
      </w:tblGrid>
      <w:tr>
        <w:trPr>
          <w:tblHeader w:val="true"/>
          <w:cantSplit/>
        </w:trPr>
        <w:tc>
          <w:tcPr>
            <w:tcW w:type="dxa" w:w="19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Puerta</w:t>
            </w:r>
          </w:p>
        </w:tc>
        <w:tc>
          <w:tcPr>
            <w:tcW w:type="dxa" w:w="74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Dominios RNF que la condicionan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CE-01 Cuenta</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MED, DIS, SEG, PRI, REC, ACC, COM, OBS, MAN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CE-02 Catálogo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MED, REN, DIS, CAP, REC, ACC, COM, OBS, MAN, DAT</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CE-03 Reproducción</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MED, REN, DIS, CAP, REC, ACC, COM, OBS, MAN, DAT</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CE-04 Presentación</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MED, REN, DIS, CAP, REC, ACC, COM, OBS, MAN, DAT</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CE-05 Análisis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MED, REN, DIS, CAP, REC, ACC, COM, OBS, MAN, DAT</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CE-06 Ejercicio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MED, REN, DIS, CAP, REC, ACC, COM, OBS, MAN, DAT</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CE-07 Progreso</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MED, REN, DIS, CAP, PRI, REC, ACC, COM, OBS, MAN, DAT</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CE-08 Continuidad</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MED, REN, DIS, CAP, PRI, REC, ACC, COM, OBS, MAN, DAT</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CE-09 Curaduría</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MED, REN, DIS, CAP, SEG, REC, ACC, COM, OBS, MAN, DAT</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CE-10 Derechos</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MED, DIS, SEG, REC, OBS, MAN, DAT</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CE-11 Privacidad</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MED, DIS, SEG, PRI, REC, OBS, MAN, DAT</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CE-12 Independencia</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MED, REN, DIS, PRI, COM, OBS, MAN, DAT</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CE-13 Accesibilidad</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MED, REN, DIS, ACC, COM, OBS, MAN</w:t>
            </w:r>
          </w:p>
        </w:tc>
      </w:tr>
      <w:tr>
        <w:trPr>
          <w:cantSplit/>
        </w:trPr>
        <w:tc>
          <w:tcPr>
            <w:tcW w:type="dxa" w:w="1900"/>
            <w:tcMar>
              <w:top w:w="80" w:type="dxa"/>
              <w:start w:w="120" w:type="dxa"/>
              <w:bottom w:w="80" w:type="dxa"/>
              <w:end w:w="120" w:type="dxa"/>
            </w:tcMar>
            <w:vAlign w:val="center"/>
          </w:tcPr>
          <w:p>
            <w:pPr>
              <w:pStyle w:val="TableText"/>
            </w:pPr>
            <w:r/>
            <w:r>
              <w:rPr>
                <w:rFonts w:ascii="Calibri" w:hAnsi="Calibri" w:eastAsia="Calibri"/>
                <w:b w:val="0"/>
                <w:i w:val="0"/>
                <w:color w:val="000000"/>
                <w:sz w:val="17"/>
              </w:rPr>
              <w:t>CE-14 Auditoría</w:t>
            </w:r>
          </w:p>
        </w:tc>
        <w:tc>
          <w:tcPr>
            <w:tcW w:type="dxa" w:w="7460"/>
            <w:tcMar>
              <w:top w:w="80" w:type="dxa"/>
              <w:start w:w="120" w:type="dxa"/>
              <w:bottom w:w="80" w:type="dxa"/>
              <w:end w:w="120" w:type="dxa"/>
            </w:tcMar>
            <w:vAlign w:val="center"/>
          </w:tcPr>
          <w:p>
            <w:pPr>
              <w:pStyle w:val="TableText"/>
            </w:pPr>
            <w:r/>
            <w:r>
              <w:rPr>
                <w:rFonts w:ascii="Calibri" w:hAnsi="Calibri" w:eastAsia="Calibri"/>
                <w:b w:val="0"/>
                <w:i w:val="0"/>
                <w:color w:val="000000"/>
                <w:sz w:val="17"/>
              </w:rPr>
              <w:t>MED, DIS, SEG, PRI, REC, OBS, MAN, DAT</w:t>
            </w:r>
          </w:p>
        </w:tc>
      </w:tr>
    </w:tbl>
    <w:p>
      <w:pPr>
        <w:pStyle w:val="SmallNote"/>
        <w:spacing w:after="40"/>
      </w:pPr>
    </w:p>
    <w:p>
      <w:pPr>
        <w:pStyle w:val="Heading1"/>
      </w:pPr>
      <w:r>
        <w:t>17. Plan de verificación y expediente de liberación</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900"/>
        <w:gridCol w:w="1500"/>
        <w:gridCol w:w="5000"/>
        <w:gridCol w:w="1960"/>
      </w:tblGrid>
      <w:tr>
        <w:trPr>
          <w:tblHeader w:val="true"/>
          <w:cantSplit/>
        </w:trPr>
        <w:tc>
          <w:tcPr>
            <w:tcW w:type="dxa" w:w="9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Evid.</w:t>
            </w:r>
          </w:p>
        </w:tc>
        <w:tc>
          <w:tcPr>
            <w:tcW w:type="dxa" w:w="15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Responsable</w:t>
            </w:r>
          </w:p>
        </w:tc>
        <w:tc>
          <w:tcPr>
            <w:tcW w:type="dxa" w:w="50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Contenido</w:t>
            </w:r>
          </w:p>
        </w:tc>
        <w:tc>
          <w:tcPr>
            <w:tcW w:type="dxa" w:w="19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Frecuencia</w:t>
            </w:r>
          </w:p>
        </w:tc>
      </w:tr>
      <w:tr>
        <w:trPr>
          <w:cantSplit/>
        </w:trPr>
        <w:tc>
          <w:tcPr>
            <w:tcW w:type="dxa" w:w="900"/>
            <w:tcMar>
              <w:top w:w="80" w:type="dxa"/>
              <w:start w:w="120" w:type="dxa"/>
              <w:bottom w:w="80" w:type="dxa"/>
              <w:end w:w="120" w:type="dxa"/>
            </w:tcMar>
            <w:vAlign w:val="center"/>
          </w:tcPr>
          <w:p>
            <w:pPr>
              <w:pStyle w:val="TableText"/>
            </w:pPr>
            <w:r/>
            <w:r>
              <w:rPr>
                <w:rFonts w:ascii="Calibri" w:hAnsi="Calibri" w:eastAsia="Calibri"/>
                <w:b w:val="0"/>
                <w:i w:val="0"/>
                <w:color w:val="000000"/>
                <w:sz w:val="17"/>
              </w:rPr>
              <w:t>EV-01</w:t>
            </w:r>
          </w:p>
        </w:tc>
        <w:tc>
          <w:tcPr>
            <w:tcW w:type="dxa" w:w="1500"/>
            <w:tcMar>
              <w:top w:w="80" w:type="dxa"/>
              <w:start w:w="120" w:type="dxa"/>
              <w:bottom w:w="80" w:type="dxa"/>
              <w:end w:w="120" w:type="dxa"/>
            </w:tcMar>
            <w:vAlign w:val="center"/>
          </w:tcPr>
          <w:p>
            <w:pPr>
              <w:pStyle w:val="TableText"/>
            </w:pPr>
            <w:r/>
            <w:r>
              <w:rPr>
                <w:rFonts w:ascii="Calibri" w:hAnsi="Calibri" w:eastAsia="Calibri"/>
                <w:b w:val="0"/>
                <w:i w:val="0"/>
                <w:color w:val="000000"/>
                <w:sz w:val="17"/>
              </w:rPr>
              <w:t>QA</w:t>
            </w:r>
          </w:p>
        </w:tc>
        <w:tc>
          <w:tcPr>
            <w:tcW w:type="dxa" w:w="5000"/>
            <w:tcMar>
              <w:top w:w="80" w:type="dxa"/>
              <w:start w:w="120" w:type="dxa"/>
              <w:bottom w:w="80" w:type="dxa"/>
              <w:end w:w="120" w:type="dxa"/>
            </w:tcMar>
            <w:vAlign w:val="center"/>
          </w:tcPr>
          <w:p>
            <w:pPr>
              <w:pStyle w:val="TableText"/>
            </w:pPr>
            <w:r/>
            <w:r>
              <w:rPr>
                <w:rFonts w:ascii="Calibri" w:hAnsi="Calibri" w:eastAsia="Calibri"/>
                <w:b w:val="0"/>
                <w:i w:val="0"/>
                <w:color w:val="000000"/>
                <w:sz w:val="17"/>
              </w:rPr>
              <w:t>E2E de CE-01 a CE-14 y trazabilidad completa</w:t>
            </w:r>
          </w:p>
        </w:tc>
        <w:tc>
          <w:tcPr>
            <w:tcW w:type="dxa" w:w="1960"/>
            <w:tcMar>
              <w:top w:w="80" w:type="dxa"/>
              <w:start w:w="120" w:type="dxa"/>
              <w:bottom w:w="80" w:type="dxa"/>
              <w:end w:w="120" w:type="dxa"/>
            </w:tcMar>
            <w:vAlign w:val="center"/>
          </w:tcPr>
          <w:p>
            <w:pPr>
              <w:pStyle w:val="TableText"/>
            </w:pPr>
            <w:r/>
            <w:r>
              <w:rPr>
                <w:rFonts w:ascii="Calibri" w:hAnsi="Calibri" w:eastAsia="Calibri"/>
                <w:b w:val="0"/>
                <w:i w:val="0"/>
                <w:color w:val="000000"/>
                <w:sz w:val="17"/>
              </w:rPr>
              <w:t>Cada candidato</w:t>
            </w:r>
          </w:p>
        </w:tc>
      </w:tr>
      <w:tr>
        <w:trPr>
          <w:cantSplit/>
        </w:trPr>
        <w:tc>
          <w:tcPr>
            <w:tcW w:type="dxa" w:w="900"/>
            <w:tcMar>
              <w:top w:w="80" w:type="dxa"/>
              <w:start w:w="120" w:type="dxa"/>
              <w:bottom w:w="80" w:type="dxa"/>
              <w:end w:w="120" w:type="dxa"/>
            </w:tcMar>
            <w:vAlign w:val="center"/>
          </w:tcPr>
          <w:p>
            <w:pPr>
              <w:pStyle w:val="TableText"/>
            </w:pPr>
            <w:r/>
            <w:r>
              <w:rPr>
                <w:rFonts w:ascii="Calibri" w:hAnsi="Calibri" w:eastAsia="Calibri"/>
                <w:b w:val="0"/>
                <w:i w:val="0"/>
                <w:color w:val="000000"/>
                <w:sz w:val="17"/>
              </w:rPr>
              <w:t>EV-02</w:t>
            </w:r>
          </w:p>
        </w:tc>
        <w:tc>
          <w:tcPr>
            <w:tcW w:type="dxa" w:w="1500"/>
            <w:tcMar>
              <w:top w:w="80" w:type="dxa"/>
              <w:start w:w="120" w:type="dxa"/>
              <w:bottom w:w="80" w:type="dxa"/>
              <w:end w:w="120" w:type="dxa"/>
            </w:tcMar>
            <w:vAlign w:val="center"/>
          </w:tcPr>
          <w:p>
            <w:pPr>
              <w:pStyle w:val="TableText"/>
            </w:pPr>
            <w:r/>
            <w:r>
              <w:rPr>
                <w:rFonts w:ascii="Calibri" w:hAnsi="Calibri" w:eastAsia="Calibri"/>
                <w:b w:val="0"/>
                <w:i w:val="0"/>
                <w:color w:val="000000"/>
                <w:sz w:val="17"/>
              </w:rPr>
              <w:t>Rendimiento</w:t>
            </w:r>
          </w:p>
        </w:tc>
        <w:tc>
          <w:tcPr>
            <w:tcW w:type="dxa" w:w="5000"/>
            <w:tcMar>
              <w:top w:w="80" w:type="dxa"/>
              <w:start w:w="120" w:type="dxa"/>
              <w:bottom w:w="80" w:type="dxa"/>
              <w:end w:w="120" w:type="dxa"/>
            </w:tcMar>
            <w:vAlign w:val="center"/>
          </w:tcPr>
          <w:p>
            <w:pPr>
              <w:pStyle w:val="TableText"/>
            </w:pPr>
            <w:r/>
            <w:r>
              <w:rPr>
                <w:rFonts w:ascii="Calibri" w:hAnsi="Calibri" w:eastAsia="Calibri"/>
                <w:b w:val="0"/>
                <w:i w:val="0"/>
                <w:color w:val="000000"/>
                <w:sz w:val="17"/>
              </w:rPr>
              <w:t>Core Web Vitals, API, búsqueda, sincronización y carga</w:t>
            </w:r>
          </w:p>
        </w:tc>
        <w:tc>
          <w:tcPr>
            <w:tcW w:type="dxa" w:w="1960"/>
            <w:tcMar>
              <w:top w:w="80" w:type="dxa"/>
              <w:start w:w="120" w:type="dxa"/>
              <w:bottom w:w="80" w:type="dxa"/>
              <w:end w:w="120" w:type="dxa"/>
            </w:tcMar>
            <w:vAlign w:val="center"/>
          </w:tcPr>
          <w:p>
            <w:pPr>
              <w:pStyle w:val="TableText"/>
            </w:pPr>
            <w:r/>
            <w:r>
              <w:rPr>
                <w:rFonts w:ascii="Calibri" w:hAnsi="Calibri" w:eastAsia="Calibri"/>
                <w:b w:val="0"/>
                <w:i w:val="0"/>
                <w:color w:val="000000"/>
                <w:sz w:val="17"/>
              </w:rPr>
              <w:t>Cada candidato relevante</w:t>
            </w:r>
          </w:p>
        </w:tc>
      </w:tr>
      <w:tr>
        <w:trPr>
          <w:cantSplit/>
        </w:trPr>
        <w:tc>
          <w:tcPr>
            <w:tcW w:type="dxa" w:w="900"/>
            <w:tcMar>
              <w:top w:w="80" w:type="dxa"/>
              <w:start w:w="120" w:type="dxa"/>
              <w:bottom w:w="80" w:type="dxa"/>
              <w:end w:w="120" w:type="dxa"/>
            </w:tcMar>
            <w:vAlign w:val="center"/>
          </w:tcPr>
          <w:p>
            <w:pPr>
              <w:pStyle w:val="TableText"/>
            </w:pPr>
            <w:r/>
            <w:r>
              <w:rPr>
                <w:rFonts w:ascii="Calibri" w:hAnsi="Calibri" w:eastAsia="Calibri"/>
                <w:b w:val="0"/>
                <w:i w:val="0"/>
                <w:color w:val="000000"/>
                <w:sz w:val="17"/>
              </w:rPr>
              <w:t>EV-03</w:t>
            </w:r>
          </w:p>
        </w:tc>
        <w:tc>
          <w:tcPr>
            <w:tcW w:type="dxa" w:w="1500"/>
            <w:tcMar>
              <w:top w:w="80" w:type="dxa"/>
              <w:start w:w="120" w:type="dxa"/>
              <w:bottom w:w="80" w:type="dxa"/>
              <w:end w:w="120" w:type="dxa"/>
            </w:tcMar>
            <w:vAlign w:val="center"/>
          </w:tcPr>
          <w:p>
            <w:pPr>
              <w:pStyle w:val="TableText"/>
            </w:pPr>
            <w:r/>
            <w:r>
              <w:rPr>
                <w:rFonts w:ascii="Calibri" w:hAnsi="Calibri" w:eastAsia="Calibri"/>
                <w:b w:val="0"/>
                <w:i w:val="0"/>
                <w:color w:val="000000"/>
                <w:sz w:val="17"/>
              </w:rPr>
              <w:t>Seguridad</w:t>
            </w:r>
          </w:p>
        </w:tc>
        <w:tc>
          <w:tcPr>
            <w:tcW w:type="dxa" w:w="5000"/>
            <w:tcMar>
              <w:top w:w="80" w:type="dxa"/>
              <w:start w:w="120" w:type="dxa"/>
              <w:bottom w:w="80" w:type="dxa"/>
              <w:end w:w="120" w:type="dxa"/>
            </w:tcMar>
            <w:vAlign w:val="center"/>
          </w:tcPr>
          <w:p>
            <w:pPr>
              <w:pStyle w:val="TableText"/>
            </w:pPr>
            <w:r/>
            <w:r>
              <w:rPr>
                <w:rFonts w:ascii="Calibri" w:hAnsi="Calibri" w:eastAsia="Calibri"/>
                <w:b w:val="0"/>
                <w:i w:val="0"/>
                <w:color w:val="000000"/>
                <w:sz w:val="17"/>
              </w:rPr>
              <w:t>ASVS, SAST, DAST, SCA, secretos y prueba ofensiva</w:t>
            </w:r>
          </w:p>
        </w:tc>
        <w:tc>
          <w:tcPr>
            <w:tcW w:type="dxa" w:w="1960"/>
            <w:tcMar>
              <w:top w:w="80" w:type="dxa"/>
              <w:start w:w="120" w:type="dxa"/>
              <w:bottom w:w="80" w:type="dxa"/>
              <w:end w:w="120" w:type="dxa"/>
            </w:tcMar>
            <w:vAlign w:val="center"/>
          </w:tcPr>
          <w:p>
            <w:pPr>
              <w:pStyle w:val="TableText"/>
            </w:pPr>
            <w:r/>
            <w:r>
              <w:rPr>
                <w:rFonts w:ascii="Calibri" w:hAnsi="Calibri" w:eastAsia="Calibri"/>
                <w:b w:val="0"/>
                <w:i w:val="0"/>
                <w:color w:val="000000"/>
                <w:sz w:val="17"/>
              </w:rPr>
              <w:t>Antes del MVP y por cambio</w:t>
            </w:r>
          </w:p>
        </w:tc>
      </w:tr>
      <w:tr>
        <w:trPr>
          <w:cantSplit/>
        </w:trPr>
        <w:tc>
          <w:tcPr>
            <w:tcW w:type="dxa" w:w="900"/>
            <w:tcMar>
              <w:top w:w="80" w:type="dxa"/>
              <w:start w:w="120" w:type="dxa"/>
              <w:bottom w:w="80" w:type="dxa"/>
              <w:end w:w="120" w:type="dxa"/>
            </w:tcMar>
            <w:vAlign w:val="center"/>
          </w:tcPr>
          <w:p>
            <w:pPr>
              <w:pStyle w:val="TableText"/>
            </w:pPr>
            <w:r/>
            <w:r>
              <w:rPr>
                <w:rFonts w:ascii="Calibri" w:hAnsi="Calibri" w:eastAsia="Calibri"/>
                <w:b w:val="0"/>
                <w:i w:val="0"/>
                <w:color w:val="000000"/>
                <w:sz w:val="17"/>
              </w:rPr>
              <w:t>EV-04</w:t>
            </w:r>
          </w:p>
        </w:tc>
        <w:tc>
          <w:tcPr>
            <w:tcW w:type="dxa" w:w="1500"/>
            <w:tcMar>
              <w:top w:w="80" w:type="dxa"/>
              <w:start w:w="120" w:type="dxa"/>
              <w:bottom w:w="80" w:type="dxa"/>
              <w:end w:w="120" w:type="dxa"/>
            </w:tcMar>
            <w:vAlign w:val="center"/>
          </w:tcPr>
          <w:p>
            <w:pPr>
              <w:pStyle w:val="TableText"/>
            </w:pPr>
            <w:r/>
            <w:r>
              <w:rPr>
                <w:rFonts w:ascii="Calibri" w:hAnsi="Calibri" w:eastAsia="Calibri"/>
                <w:b w:val="0"/>
                <w:i w:val="0"/>
                <w:color w:val="000000"/>
                <w:sz w:val="17"/>
              </w:rPr>
              <w:t>Privacidad</w:t>
            </w:r>
          </w:p>
        </w:tc>
        <w:tc>
          <w:tcPr>
            <w:tcW w:type="dxa" w:w="5000"/>
            <w:tcMar>
              <w:top w:w="80" w:type="dxa"/>
              <w:start w:w="120" w:type="dxa"/>
              <w:bottom w:w="80" w:type="dxa"/>
              <w:end w:w="120" w:type="dxa"/>
            </w:tcMar>
            <w:vAlign w:val="center"/>
          </w:tcPr>
          <w:p>
            <w:pPr>
              <w:pStyle w:val="TableText"/>
            </w:pPr>
            <w:r/>
            <w:r>
              <w:rPr>
                <w:rFonts w:ascii="Calibri" w:hAnsi="Calibri" w:eastAsia="Calibri"/>
                <w:b w:val="0"/>
                <w:i w:val="0"/>
                <w:color w:val="000000"/>
                <w:sz w:val="17"/>
              </w:rPr>
              <w:t>Inventario, consentimiento, red, logs, acceso y retención</w:t>
            </w:r>
          </w:p>
        </w:tc>
        <w:tc>
          <w:tcPr>
            <w:tcW w:type="dxa" w:w="1960"/>
            <w:tcMar>
              <w:top w:w="80" w:type="dxa"/>
              <w:start w:w="120" w:type="dxa"/>
              <w:bottom w:w="80" w:type="dxa"/>
              <w:end w:w="120" w:type="dxa"/>
            </w:tcMar>
            <w:vAlign w:val="center"/>
          </w:tcPr>
          <w:p>
            <w:pPr>
              <w:pStyle w:val="TableText"/>
            </w:pPr>
            <w:r/>
            <w:r>
              <w:rPr>
                <w:rFonts w:ascii="Calibri" w:hAnsi="Calibri" w:eastAsia="Calibri"/>
                <w:b w:val="0"/>
                <w:i w:val="0"/>
                <w:color w:val="000000"/>
                <w:sz w:val="17"/>
              </w:rPr>
              <w:t>Antes del MVP y trimestral</w:t>
            </w:r>
          </w:p>
        </w:tc>
      </w:tr>
      <w:tr>
        <w:trPr>
          <w:cantSplit/>
        </w:trPr>
        <w:tc>
          <w:tcPr>
            <w:tcW w:type="dxa" w:w="900"/>
            <w:tcMar>
              <w:top w:w="80" w:type="dxa"/>
              <w:start w:w="120" w:type="dxa"/>
              <w:bottom w:w="80" w:type="dxa"/>
              <w:end w:w="120" w:type="dxa"/>
            </w:tcMar>
            <w:vAlign w:val="center"/>
          </w:tcPr>
          <w:p>
            <w:pPr>
              <w:pStyle w:val="TableText"/>
            </w:pPr>
            <w:r/>
            <w:r>
              <w:rPr>
                <w:rFonts w:ascii="Calibri" w:hAnsi="Calibri" w:eastAsia="Calibri"/>
                <w:b w:val="0"/>
                <w:i w:val="0"/>
                <w:color w:val="000000"/>
                <w:sz w:val="17"/>
              </w:rPr>
              <w:t>EV-05</w:t>
            </w:r>
          </w:p>
        </w:tc>
        <w:tc>
          <w:tcPr>
            <w:tcW w:type="dxa" w:w="1500"/>
            <w:tcMar>
              <w:top w:w="80" w:type="dxa"/>
              <w:start w:w="120" w:type="dxa"/>
              <w:bottom w:w="80" w:type="dxa"/>
              <w:end w:w="120" w:type="dxa"/>
            </w:tcMar>
            <w:vAlign w:val="center"/>
          </w:tcPr>
          <w:p>
            <w:pPr>
              <w:pStyle w:val="TableText"/>
            </w:pPr>
            <w:r/>
            <w:r>
              <w:rPr>
                <w:rFonts w:ascii="Calibri" w:hAnsi="Calibri" w:eastAsia="Calibri"/>
                <w:b w:val="0"/>
                <w:i w:val="0"/>
                <w:color w:val="000000"/>
                <w:sz w:val="17"/>
              </w:rPr>
              <w:t>Recuperación</w:t>
            </w:r>
          </w:p>
        </w:tc>
        <w:tc>
          <w:tcPr>
            <w:tcW w:type="dxa" w:w="5000"/>
            <w:tcMar>
              <w:top w:w="80" w:type="dxa"/>
              <w:start w:w="120" w:type="dxa"/>
              <w:bottom w:w="80" w:type="dxa"/>
              <w:end w:w="120" w:type="dxa"/>
            </w:tcMar>
            <w:vAlign w:val="center"/>
          </w:tcPr>
          <w:p>
            <w:pPr>
              <w:pStyle w:val="TableText"/>
            </w:pPr>
            <w:r/>
            <w:r>
              <w:rPr>
                <w:rFonts w:ascii="Calibri" w:hAnsi="Calibri" w:eastAsia="Calibri"/>
                <w:b w:val="0"/>
                <w:i w:val="0"/>
                <w:color w:val="000000"/>
                <w:sz w:val="17"/>
              </w:rPr>
              <w:t>Restauración, RPO, RTO y runbook</w:t>
            </w:r>
          </w:p>
        </w:tc>
        <w:tc>
          <w:tcPr>
            <w:tcW w:type="dxa" w:w="1960"/>
            <w:tcMar>
              <w:top w:w="80" w:type="dxa"/>
              <w:start w:w="120" w:type="dxa"/>
              <w:bottom w:w="80" w:type="dxa"/>
              <w:end w:w="120" w:type="dxa"/>
            </w:tcMar>
            <w:vAlign w:val="center"/>
          </w:tcPr>
          <w:p>
            <w:pPr>
              <w:pStyle w:val="TableText"/>
            </w:pPr>
            <w:r/>
            <w:r>
              <w:rPr>
                <w:rFonts w:ascii="Calibri" w:hAnsi="Calibri" w:eastAsia="Calibri"/>
                <w:b w:val="0"/>
                <w:i w:val="0"/>
                <w:color w:val="000000"/>
                <w:sz w:val="17"/>
              </w:rPr>
              <w:t>Antes del MVP y trimestral</w:t>
            </w:r>
          </w:p>
        </w:tc>
      </w:tr>
      <w:tr>
        <w:trPr>
          <w:cantSplit/>
        </w:trPr>
        <w:tc>
          <w:tcPr>
            <w:tcW w:type="dxa" w:w="900"/>
            <w:tcMar>
              <w:top w:w="80" w:type="dxa"/>
              <w:start w:w="120" w:type="dxa"/>
              <w:bottom w:w="80" w:type="dxa"/>
              <w:end w:w="120" w:type="dxa"/>
            </w:tcMar>
            <w:vAlign w:val="center"/>
          </w:tcPr>
          <w:p>
            <w:pPr>
              <w:pStyle w:val="TableText"/>
            </w:pPr>
            <w:r/>
            <w:r>
              <w:rPr>
                <w:rFonts w:ascii="Calibri" w:hAnsi="Calibri" w:eastAsia="Calibri"/>
                <w:b w:val="0"/>
                <w:i w:val="0"/>
                <w:color w:val="000000"/>
                <w:sz w:val="17"/>
              </w:rPr>
              <w:t>EV-06</w:t>
            </w:r>
          </w:p>
        </w:tc>
        <w:tc>
          <w:tcPr>
            <w:tcW w:type="dxa" w:w="1500"/>
            <w:tcMar>
              <w:top w:w="80" w:type="dxa"/>
              <w:start w:w="120" w:type="dxa"/>
              <w:bottom w:w="80" w:type="dxa"/>
              <w:end w:w="120" w:type="dxa"/>
            </w:tcMar>
            <w:vAlign w:val="center"/>
          </w:tcPr>
          <w:p>
            <w:pPr>
              <w:pStyle w:val="TableText"/>
            </w:pPr>
            <w:r/>
            <w:r>
              <w:rPr>
                <w:rFonts w:ascii="Calibri" w:hAnsi="Calibri" w:eastAsia="Calibri"/>
                <w:b w:val="0"/>
                <w:i w:val="0"/>
                <w:color w:val="000000"/>
                <w:sz w:val="17"/>
              </w:rPr>
              <w:t>Accesibilidad</w:t>
            </w:r>
          </w:p>
        </w:tc>
        <w:tc>
          <w:tcPr>
            <w:tcW w:type="dxa" w:w="5000"/>
            <w:tcMar>
              <w:top w:w="80" w:type="dxa"/>
              <w:start w:w="120" w:type="dxa"/>
              <w:bottom w:w="80" w:type="dxa"/>
              <w:end w:w="120" w:type="dxa"/>
            </w:tcMar>
            <w:vAlign w:val="center"/>
          </w:tcPr>
          <w:p>
            <w:pPr>
              <w:pStyle w:val="TableText"/>
            </w:pPr>
            <w:r/>
            <w:r>
              <w:rPr>
                <w:rFonts w:ascii="Calibri" w:hAnsi="Calibri" w:eastAsia="Calibri"/>
                <w:b w:val="0"/>
                <w:i w:val="0"/>
                <w:color w:val="000000"/>
                <w:sz w:val="17"/>
              </w:rPr>
              <w:t>WCAG automática/manual, teclado y lectores de pantalla</w:t>
            </w:r>
          </w:p>
        </w:tc>
        <w:tc>
          <w:tcPr>
            <w:tcW w:type="dxa" w:w="1960"/>
            <w:tcMar>
              <w:top w:w="80" w:type="dxa"/>
              <w:start w:w="120" w:type="dxa"/>
              <w:bottom w:w="80" w:type="dxa"/>
              <w:end w:w="120" w:type="dxa"/>
            </w:tcMar>
            <w:vAlign w:val="center"/>
          </w:tcPr>
          <w:p>
            <w:pPr>
              <w:pStyle w:val="TableText"/>
            </w:pPr>
            <w:r/>
            <w:r>
              <w:rPr>
                <w:rFonts w:ascii="Calibri" w:hAnsi="Calibri" w:eastAsia="Calibri"/>
                <w:b w:val="0"/>
                <w:i w:val="0"/>
                <w:color w:val="000000"/>
                <w:sz w:val="17"/>
              </w:rPr>
              <w:t>Cada candidato de interfaz</w:t>
            </w:r>
          </w:p>
        </w:tc>
      </w:tr>
      <w:tr>
        <w:trPr>
          <w:cantSplit/>
        </w:trPr>
        <w:tc>
          <w:tcPr>
            <w:tcW w:type="dxa" w:w="900"/>
            <w:tcMar>
              <w:top w:w="80" w:type="dxa"/>
              <w:start w:w="120" w:type="dxa"/>
              <w:bottom w:w="80" w:type="dxa"/>
              <w:end w:w="120" w:type="dxa"/>
            </w:tcMar>
            <w:vAlign w:val="center"/>
          </w:tcPr>
          <w:p>
            <w:pPr>
              <w:pStyle w:val="TableText"/>
            </w:pPr>
            <w:r/>
            <w:r>
              <w:rPr>
                <w:rFonts w:ascii="Calibri" w:hAnsi="Calibri" w:eastAsia="Calibri"/>
                <w:b w:val="0"/>
                <w:i w:val="0"/>
                <w:color w:val="000000"/>
                <w:sz w:val="17"/>
              </w:rPr>
              <w:t>EV-07</w:t>
            </w:r>
          </w:p>
        </w:tc>
        <w:tc>
          <w:tcPr>
            <w:tcW w:type="dxa" w:w="1500"/>
            <w:tcMar>
              <w:top w:w="80" w:type="dxa"/>
              <w:start w:w="120" w:type="dxa"/>
              <w:bottom w:w="80" w:type="dxa"/>
              <w:end w:w="120" w:type="dxa"/>
            </w:tcMar>
            <w:vAlign w:val="center"/>
          </w:tcPr>
          <w:p>
            <w:pPr>
              <w:pStyle w:val="TableText"/>
            </w:pPr>
            <w:r/>
            <w:r>
              <w:rPr>
                <w:rFonts w:ascii="Calibri" w:hAnsi="Calibri" w:eastAsia="Calibri"/>
                <w:b w:val="0"/>
                <w:i w:val="0"/>
                <w:color w:val="000000"/>
                <w:sz w:val="17"/>
              </w:rPr>
              <w:t>Compatibilidad</w:t>
            </w:r>
          </w:p>
        </w:tc>
        <w:tc>
          <w:tcPr>
            <w:tcW w:type="dxa" w:w="5000"/>
            <w:tcMar>
              <w:top w:w="80" w:type="dxa"/>
              <w:start w:w="120" w:type="dxa"/>
              <w:bottom w:w="80" w:type="dxa"/>
              <w:end w:w="120" w:type="dxa"/>
            </w:tcMar>
            <w:vAlign w:val="center"/>
          </w:tcPr>
          <w:p>
            <w:pPr>
              <w:pStyle w:val="TableText"/>
            </w:pPr>
            <w:r/>
            <w:r>
              <w:rPr>
                <w:rFonts w:ascii="Calibri" w:hAnsi="Calibri" w:eastAsia="Calibri"/>
                <w:b w:val="0"/>
                <w:i w:val="0"/>
                <w:color w:val="000000"/>
                <w:sz w:val="17"/>
              </w:rPr>
              <w:t>Matriz de navegadores, móvil, Unicode y red degradada</w:t>
            </w:r>
          </w:p>
        </w:tc>
        <w:tc>
          <w:tcPr>
            <w:tcW w:type="dxa" w:w="1960"/>
            <w:tcMar>
              <w:top w:w="80" w:type="dxa"/>
              <w:start w:w="120" w:type="dxa"/>
              <w:bottom w:w="80" w:type="dxa"/>
              <w:end w:w="120" w:type="dxa"/>
            </w:tcMar>
            <w:vAlign w:val="center"/>
          </w:tcPr>
          <w:p>
            <w:pPr>
              <w:pStyle w:val="TableText"/>
            </w:pPr>
            <w:r/>
            <w:r>
              <w:rPr>
                <w:rFonts w:ascii="Calibri" w:hAnsi="Calibri" w:eastAsia="Calibri"/>
                <w:b w:val="0"/>
                <w:i w:val="0"/>
                <w:color w:val="000000"/>
                <w:sz w:val="17"/>
              </w:rPr>
              <w:t>Cada candidato de interfaz</w:t>
            </w:r>
          </w:p>
        </w:tc>
      </w:tr>
      <w:tr>
        <w:trPr>
          <w:cantSplit/>
        </w:trPr>
        <w:tc>
          <w:tcPr>
            <w:tcW w:type="dxa" w:w="900"/>
            <w:tcMar>
              <w:top w:w="80" w:type="dxa"/>
              <w:start w:w="120" w:type="dxa"/>
              <w:bottom w:w="80" w:type="dxa"/>
              <w:end w:w="120" w:type="dxa"/>
            </w:tcMar>
            <w:vAlign w:val="center"/>
          </w:tcPr>
          <w:p>
            <w:pPr>
              <w:pStyle w:val="TableText"/>
            </w:pPr>
            <w:r/>
            <w:r>
              <w:rPr>
                <w:rFonts w:ascii="Calibri" w:hAnsi="Calibri" w:eastAsia="Calibri"/>
                <w:b w:val="0"/>
                <w:i w:val="0"/>
                <w:color w:val="000000"/>
                <w:sz w:val="17"/>
              </w:rPr>
              <w:t>EV-08</w:t>
            </w:r>
          </w:p>
        </w:tc>
        <w:tc>
          <w:tcPr>
            <w:tcW w:type="dxa" w:w="1500"/>
            <w:tcMar>
              <w:top w:w="80" w:type="dxa"/>
              <w:start w:w="120" w:type="dxa"/>
              <w:bottom w:w="80" w:type="dxa"/>
              <w:end w:w="120" w:type="dxa"/>
            </w:tcMar>
            <w:vAlign w:val="center"/>
          </w:tcPr>
          <w:p>
            <w:pPr>
              <w:pStyle w:val="TableText"/>
            </w:pPr>
            <w:r/>
            <w:r>
              <w:rPr>
                <w:rFonts w:ascii="Calibri" w:hAnsi="Calibri" w:eastAsia="Calibri"/>
                <w:b w:val="0"/>
                <w:i w:val="0"/>
                <w:color w:val="000000"/>
                <w:sz w:val="17"/>
              </w:rPr>
              <w:t>Operación</w:t>
            </w:r>
          </w:p>
        </w:tc>
        <w:tc>
          <w:tcPr>
            <w:tcW w:type="dxa" w:w="5000"/>
            <w:tcMar>
              <w:top w:w="80" w:type="dxa"/>
              <w:start w:w="120" w:type="dxa"/>
              <w:bottom w:w="80" w:type="dxa"/>
              <w:end w:w="120" w:type="dxa"/>
            </w:tcMar>
            <w:vAlign w:val="center"/>
          </w:tcPr>
          <w:p>
            <w:pPr>
              <w:pStyle w:val="TableText"/>
            </w:pPr>
            <w:r/>
            <w:r>
              <w:rPr>
                <w:rFonts w:ascii="Calibri" w:hAnsi="Calibri" w:eastAsia="Calibri"/>
                <w:b w:val="0"/>
                <w:i w:val="0"/>
                <w:color w:val="000000"/>
                <w:sz w:val="17"/>
              </w:rPr>
              <w:t>Paneles, alertas, sintéticos, MTTD y auditoría</w:t>
            </w:r>
          </w:p>
        </w:tc>
        <w:tc>
          <w:tcPr>
            <w:tcW w:type="dxa" w:w="1960"/>
            <w:tcMar>
              <w:top w:w="80" w:type="dxa"/>
              <w:start w:w="120" w:type="dxa"/>
              <w:bottom w:w="80" w:type="dxa"/>
              <w:end w:w="120" w:type="dxa"/>
            </w:tcMar>
            <w:vAlign w:val="center"/>
          </w:tcPr>
          <w:p>
            <w:pPr>
              <w:pStyle w:val="TableText"/>
            </w:pPr>
            <w:r/>
            <w:r>
              <w:rPr>
                <w:rFonts w:ascii="Calibri" w:hAnsi="Calibri" w:eastAsia="Calibri"/>
                <w:b w:val="0"/>
                <w:i w:val="0"/>
                <w:color w:val="000000"/>
                <w:sz w:val="17"/>
              </w:rPr>
              <w:t>Antes del MVP y continuo</w:t>
            </w:r>
          </w:p>
        </w:tc>
      </w:tr>
      <w:tr>
        <w:trPr>
          <w:cantSplit/>
        </w:trPr>
        <w:tc>
          <w:tcPr>
            <w:tcW w:type="dxa" w:w="900"/>
            <w:tcMar>
              <w:top w:w="80" w:type="dxa"/>
              <w:start w:w="120" w:type="dxa"/>
              <w:bottom w:w="80" w:type="dxa"/>
              <w:end w:w="120" w:type="dxa"/>
            </w:tcMar>
            <w:vAlign w:val="center"/>
          </w:tcPr>
          <w:p>
            <w:pPr>
              <w:pStyle w:val="TableText"/>
            </w:pPr>
            <w:r/>
            <w:r>
              <w:rPr>
                <w:rFonts w:ascii="Calibri" w:hAnsi="Calibri" w:eastAsia="Calibri"/>
                <w:b w:val="0"/>
                <w:i w:val="0"/>
                <w:color w:val="000000"/>
                <w:sz w:val="17"/>
              </w:rPr>
              <w:t>EV-09</w:t>
            </w:r>
          </w:p>
        </w:tc>
        <w:tc>
          <w:tcPr>
            <w:tcW w:type="dxa" w:w="1500"/>
            <w:tcMar>
              <w:top w:w="80" w:type="dxa"/>
              <w:start w:w="120" w:type="dxa"/>
              <w:bottom w:w="80" w:type="dxa"/>
              <w:end w:w="120" w:type="dxa"/>
            </w:tcMar>
            <w:vAlign w:val="center"/>
          </w:tcPr>
          <w:p>
            <w:pPr>
              <w:pStyle w:val="TableText"/>
            </w:pPr>
            <w:r/>
            <w:r>
              <w:rPr>
                <w:rFonts w:ascii="Calibri" w:hAnsi="Calibri" w:eastAsia="Calibri"/>
                <w:b w:val="0"/>
                <w:i w:val="0"/>
                <w:color w:val="000000"/>
                <w:sz w:val="17"/>
              </w:rPr>
              <w:t>Ingeniería</w:t>
            </w:r>
          </w:p>
        </w:tc>
        <w:tc>
          <w:tcPr>
            <w:tcW w:type="dxa" w:w="5000"/>
            <w:tcMar>
              <w:top w:w="80" w:type="dxa"/>
              <w:start w:w="120" w:type="dxa"/>
              <w:bottom w:w="80" w:type="dxa"/>
              <w:end w:w="120" w:type="dxa"/>
            </w:tcMar>
            <w:vAlign w:val="center"/>
          </w:tcPr>
          <w:p>
            <w:pPr>
              <w:pStyle w:val="TableText"/>
            </w:pPr>
            <w:r/>
            <w:r>
              <w:rPr>
                <w:rFonts w:ascii="Calibri" w:hAnsi="Calibri" w:eastAsia="Calibri"/>
                <w:b w:val="0"/>
                <w:i w:val="0"/>
                <w:color w:val="000000"/>
                <w:sz w:val="17"/>
              </w:rPr>
              <w:t>Cobertura, integración, flakiness, SBOM, migración y rollback</w:t>
            </w:r>
          </w:p>
        </w:tc>
        <w:tc>
          <w:tcPr>
            <w:tcW w:type="dxa" w:w="1960"/>
            <w:tcMar>
              <w:top w:w="80" w:type="dxa"/>
              <w:start w:w="120" w:type="dxa"/>
              <w:bottom w:w="80" w:type="dxa"/>
              <w:end w:w="120" w:type="dxa"/>
            </w:tcMar>
            <w:vAlign w:val="center"/>
          </w:tcPr>
          <w:p>
            <w:pPr>
              <w:pStyle w:val="TableText"/>
            </w:pPr>
            <w:r/>
            <w:r>
              <w:rPr>
                <w:rFonts w:ascii="Calibri" w:hAnsi="Calibri" w:eastAsia="Calibri"/>
                <w:b w:val="0"/>
                <w:i w:val="0"/>
                <w:color w:val="000000"/>
                <w:sz w:val="17"/>
              </w:rPr>
              <w:t>Cada candidato</w:t>
            </w:r>
          </w:p>
        </w:tc>
      </w:tr>
      <w:tr>
        <w:trPr>
          <w:cantSplit/>
        </w:trPr>
        <w:tc>
          <w:tcPr>
            <w:tcW w:type="dxa" w:w="900"/>
            <w:tcMar>
              <w:top w:w="80" w:type="dxa"/>
              <w:start w:w="120" w:type="dxa"/>
              <w:bottom w:w="80" w:type="dxa"/>
              <w:end w:w="120" w:type="dxa"/>
            </w:tcMar>
            <w:vAlign w:val="center"/>
          </w:tcPr>
          <w:p>
            <w:pPr>
              <w:pStyle w:val="TableText"/>
            </w:pPr>
            <w:r/>
            <w:r>
              <w:rPr>
                <w:rFonts w:ascii="Calibri" w:hAnsi="Calibri" w:eastAsia="Calibri"/>
                <w:b w:val="0"/>
                <w:i w:val="0"/>
                <w:color w:val="000000"/>
                <w:sz w:val="17"/>
              </w:rPr>
              <w:t>EV-10</w:t>
            </w:r>
          </w:p>
        </w:tc>
        <w:tc>
          <w:tcPr>
            <w:tcW w:type="dxa" w:w="1500"/>
            <w:tcMar>
              <w:top w:w="80" w:type="dxa"/>
              <w:start w:w="120" w:type="dxa"/>
              <w:bottom w:w="80" w:type="dxa"/>
              <w:end w:w="120" w:type="dxa"/>
            </w:tcMar>
            <w:vAlign w:val="center"/>
          </w:tcPr>
          <w:p>
            <w:pPr>
              <w:pStyle w:val="TableText"/>
            </w:pPr>
            <w:r/>
            <w:r>
              <w:rPr>
                <w:rFonts w:ascii="Calibri" w:hAnsi="Calibri" w:eastAsia="Calibri"/>
                <w:b w:val="0"/>
                <w:i w:val="0"/>
                <w:color w:val="000000"/>
                <w:sz w:val="17"/>
              </w:rPr>
              <w:t>Datos y contenido</w:t>
            </w:r>
          </w:p>
        </w:tc>
        <w:tc>
          <w:tcPr>
            <w:tcW w:type="dxa" w:w="5000"/>
            <w:tcMar>
              <w:top w:w="80" w:type="dxa"/>
              <w:start w:w="120" w:type="dxa"/>
              <w:bottom w:w="80" w:type="dxa"/>
              <w:end w:w="120" w:type="dxa"/>
            </w:tcMar>
            <w:vAlign w:val="center"/>
          </w:tcPr>
          <w:p>
            <w:pPr>
              <w:pStyle w:val="TableText"/>
            </w:pPr>
            <w:r/>
            <w:r>
              <w:rPr>
                <w:rFonts w:ascii="Calibri" w:hAnsi="Calibri" w:eastAsia="Calibri"/>
                <w:b w:val="0"/>
                <w:i w:val="0"/>
                <w:color w:val="000000"/>
                <w:sz w:val="17"/>
              </w:rPr>
              <w:t>Integridad, versiones, derechos, idempotencia y YouTube</w:t>
            </w:r>
          </w:p>
        </w:tc>
        <w:tc>
          <w:tcPr>
            <w:tcW w:type="dxa" w:w="1960"/>
            <w:tcMar>
              <w:top w:w="80" w:type="dxa"/>
              <w:start w:w="120" w:type="dxa"/>
              <w:bottom w:w="80" w:type="dxa"/>
              <w:end w:w="120" w:type="dxa"/>
            </w:tcMar>
            <w:vAlign w:val="center"/>
          </w:tcPr>
          <w:p>
            <w:pPr>
              <w:pStyle w:val="TableText"/>
            </w:pPr>
            <w:r/>
            <w:r>
              <w:rPr>
                <w:rFonts w:ascii="Calibri" w:hAnsi="Calibri" w:eastAsia="Calibri"/>
                <w:b w:val="0"/>
                <w:i w:val="0"/>
                <w:color w:val="000000"/>
                <w:sz w:val="17"/>
              </w:rPr>
              <w:t>Cada publicación y candidato</w:t>
            </w:r>
          </w:p>
        </w:tc>
      </w:tr>
    </w:tbl>
    <w:p>
      <w:pPr>
        <w:pStyle w:val="SmallNote"/>
        <w:spacing w:after="40"/>
      </w:pPr>
    </w:p>
    <w:p>
      <w:pPr>
        <w:pStyle w:val="Heading2"/>
      </w:pPr>
      <w:r>
        <w:t>17.1 Contenido mínimo de una evidencia</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800"/>
        <w:gridCol w:w="7560"/>
      </w:tblGrid>
      <w:tr>
        <w:trPr>
          <w:tblHeader w:val="true"/>
          <w:cantSplit/>
        </w:trPr>
        <w:tc>
          <w:tcPr>
            <w:tcW w:type="dxa" w:w="18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8"/>
              </w:rPr>
              <w:t>Elemento</w:t>
            </w:r>
          </w:p>
        </w:tc>
        <w:tc>
          <w:tcPr>
            <w:tcW w:type="dxa" w:w="75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8"/>
              </w:rPr>
              <w:t>Contenido exigido</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8"/>
              </w:rPr>
              <w:t>Identificación</w:t>
            </w:r>
          </w:p>
        </w:tc>
        <w:tc>
          <w:tcPr>
            <w:tcW w:type="dxa" w:w="7560"/>
            <w:tcMar>
              <w:top w:w="80" w:type="dxa"/>
              <w:start w:w="120" w:type="dxa"/>
              <w:bottom w:w="80" w:type="dxa"/>
              <w:end w:w="120" w:type="dxa"/>
            </w:tcMar>
            <w:vAlign w:val="center"/>
          </w:tcPr>
          <w:p>
            <w:pPr>
              <w:pStyle w:val="TableText"/>
            </w:pPr>
            <w:r/>
            <w:r>
              <w:rPr>
                <w:rFonts w:ascii="Calibri" w:hAnsi="Calibri" w:eastAsia="Calibri"/>
                <w:b w:val="0"/>
                <w:i w:val="0"/>
                <w:color w:val="000000"/>
                <w:sz w:val="18"/>
              </w:rPr>
              <w:t>RNF, versión del candidato, commit/artefacto y fecha</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8"/>
              </w:rPr>
              <w:t>Condición</w:t>
            </w:r>
          </w:p>
        </w:tc>
        <w:tc>
          <w:tcPr>
            <w:tcW w:type="dxa" w:w="7560"/>
            <w:tcMar>
              <w:top w:w="80" w:type="dxa"/>
              <w:start w:w="120" w:type="dxa"/>
              <w:bottom w:w="80" w:type="dxa"/>
              <w:end w:w="120" w:type="dxa"/>
            </w:tcMar>
            <w:vAlign w:val="center"/>
          </w:tcPr>
          <w:p>
            <w:pPr>
              <w:pStyle w:val="TableText"/>
            </w:pPr>
            <w:r/>
            <w:r>
              <w:rPr>
                <w:rFonts w:ascii="Calibri" w:hAnsi="Calibri" w:eastAsia="Calibri"/>
                <w:b w:val="0"/>
                <w:i w:val="0"/>
                <w:color w:val="000000"/>
                <w:sz w:val="18"/>
              </w:rPr>
              <w:t>Ambiente, datos, carga, navegador/dispositivo y configuración</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8"/>
              </w:rPr>
              <w:t>Ejecución</w:t>
            </w:r>
          </w:p>
        </w:tc>
        <w:tc>
          <w:tcPr>
            <w:tcW w:type="dxa" w:w="7560"/>
            <w:tcMar>
              <w:top w:w="80" w:type="dxa"/>
              <w:start w:w="120" w:type="dxa"/>
              <w:bottom w:w="80" w:type="dxa"/>
              <w:end w:w="120" w:type="dxa"/>
            </w:tcMar>
            <w:vAlign w:val="center"/>
          </w:tcPr>
          <w:p>
            <w:pPr>
              <w:pStyle w:val="TableText"/>
            </w:pPr>
            <w:r/>
            <w:r>
              <w:rPr>
                <w:rFonts w:ascii="Calibri" w:hAnsi="Calibri" w:eastAsia="Calibri"/>
                <w:b w:val="0"/>
                <w:i w:val="0"/>
                <w:color w:val="000000"/>
                <w:sz w:val="18"/>
              </w:rPr>
              <w:t>Herramienta o guion, muestra, duración y responsable</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8"/>
              </w:rPr>
              <w:t>Resultado</w:t>
            </w:r>
          </w:p>
        </w:tc>
        <w:tc>
          <w:tcPr>
            <w:tcW w:type="dxa" w:w="7560"/>
            <w:tcMar>
              <w:top w:w="80" w:type="dxa"/>
              <w:start w:w="120" w:type="dxa"/>
              <w:bottom w:w="80" w:type="dxa"/>
              <w:end w:w="120" w:type="dxa"/>
            </w:tcMar>
            <w:vAlign w:val="center"/>
          </w:tcPr>
          <w:p>
            <w:pPr>
              <w:pStyle w:val="TableText"/>
            </w:pPr>
            <w:r/>
            <w:r>
              <w:rPr>
                <w:rFonts w:ascii="Calibri" w:hAnsi="Calibri" w:eastAsia="Calibri"/>
                <w:b w:val="0"/>
                <w:i w:val="0"/>
                <w:color w:val="000000"/>
                <w:sz w:val="18"/>
              </w:rPr>
              <w:t>Valor observado, umbral, estado y archivos de respaldo</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8"/>
              </w:rPr>
              <w:t>Desviación</w:t>
            </w:r>
          </w:p>
        </w:tc>
        <w:tc>
          <w:tcPr>
            <w:tcW w:type="dxa" w:w="7560"/>
            <w:tcMar>
              <w:top w:w="80" w:type="dxa"/>
              <w:start w:w="120" w:type="dxa"/>
              <w:bottom w:w="80" w:type="dxa"/>
              <w:end w:w="120" w:type="dxa"/>
            </w:tcMar>
            <w:vAlign w:val="center"/>
          </w:tcPr>
          <w:p>
            <w:pPr>
              <w:pStyle w:val="TableText"/>
            </w:pPr>
            <w:r/>
            <w:r>
              <w:rPr>
                <w:rFonts w:ascii="Calibri" w:hAnsi="Calibri" w:eastAsia="Calibri"/>
                <w:b w:val="0"/>
                <w:i w:val="0"/>
                <w:color w:val="000000"/>
                <w:sz w:val="18"/>
              </w:rPr>
              <w:t>Defecto o excepción, riesgo, responsable y fecha de corrección</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8"/>
              </w:rPr>
              <w:t>Aprobación</w:t>
            </w:r>
          </w:p>
        </w:tc>
        <w:tc>
          <w:tcPr>
            <w:tcW w:type="dxa" w:w="7560"/>
            <w:tcMar>
              <w:top w:w="80" w:type="dxa"/>
              <w:start w:w="120" w:type="dxa"/>
              <w:bottom w:w="80" w:type="dxa"/>
              <w:end w:w="120" w:type="dxa"/>
            </w:tcMar>
            <w:vAlign w:val="center"/>
          </w:tcPr>
          <w:p>
            <w:pPr>
              <w:pStyle w:val="TableText"/>
            </w:pPr>
            <w:r/>
            <w:r>
              <w:rPr>
                <w:rFonts w:ascii="Calibri" w:hAnsi="Calibri" w:eastAsia="Calibri"/>
                <w:b w:val="0"/>
                <w:i w:val="0"/>
                <w:color w:val="000000"/>
                <w:sz w:val="18"/>
              </w:rPr>
              <w:t>QA y responsable técnico; seguridad/privacidad cuando aplique</w:t>
            </w:r>
          </w:p>
        </w:tc>
      </w:tr>
    </w:tbl>
    <w:p>
      <w:pPr>
        <w:pStyle w:val="SmallNote"/>
        <w:spacing w:after="40"/>
      </w:pPr>
    </w:p>
    <w:p>
      <w:pPr>
        <w:pStyle w:val="Heading1"/>
      </w:pPr>
      <w:r>
        <w:t>18. Supuestos, exclusiones y control de cambios</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700"/>
        <w:gridCol w:w="7660"/>
      </w:tblGrid>
      <w:tr>
        <w:trPr>
          <w:tblHeader w:val="true"/>
          <w:cantSplit/>
        </w:trPr>
        <w:tc>
          <w:tcPr>
            <w:tcW w:type="dxa" w:w="17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Área</w:t>
            </w:r>
          </w:p>
        </w:tc>
        <w:tc>
          <w:tcPr>
            <w:tcW w:type="dxa" w:w="76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7"/>
              </w:rPr>
              <w:t>Decisión</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7"/>
              </w:rPr>
              <w:t>Stack</w:t>
            </w:r>
          </w:p>
        </w:tc>
        <w:tc>
          <w:tcPr>
            <w:tcW w:type="dxa" w:w="7660"/>
            <w:tcMar>
              <w:top w:w="80" w:type="dxa"/>
              <w:start w:w="120" w:type="dxa"/>
              <w:bottom w:w="80" w:type="dxa"/>
              <w:end w:w="120" w:type="dxa"/>
            </w:tcMar>
            <w:vAlign w:val="center"/>
          </w:tcPr>
          <w:p>
            <w:pPr>
              <w:pStyle w:val="TableText"/>
            </w:pPr>
            <w:r/>
            <w:r>
              <w:rPr>
                <w:rFonts w:ascii="Calibri" w:hAnsi="Calibri" w:eastAsia="Calibri"/>
                <w:b w:val="0"/>
                <w:i w:val="0"/>
                <w:color w:val="000000"/>
                <w:sz w:val="17"/>
              </w:rPr>
              <w:t>No se selecciona tecnología en este documento; la arquitectura deberá demostrar que puede cumplir todos los umbrales.</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7"/>
              </w:rPr>
              <w:t>YouTube</w:t>
            </w:r>
          </w:p>
        </w:tc>
        <w:tc>
          <w:tcPr>
            <w:tcW w:type="dxa" w:w="7660"/>
            <w:tcMar>
              <w:top w:w="80" w:type="dxa"/>
              <w:start w:w="120" w:type="dxa"/>
              <w:bottom w:w="80" w:type="dxa"/>
              <w:end w:w="120" w:type="dxa"/>
            </w:tcMar>
            <w:vAlign w:val="center"/>
          </w:tcPr>
          <w:p>
            <w:pPr>
              <w:pStyle w:val="TableText"/>
            </w:pPr>
            <w:r/>
            <w:r>
              <w:rPr>
                <w:rFonts w:ascii="Calibri" w:hAnsi="Calibri" w:eastAsia="Calibri"/>
                <w:b w:val="0"/>
                <w:i w:val="0"/>
                <w:color w:val="000000"/>
                <w:sz w:val="17"/>
              </w:rPr>
              <w:t>Su disponibilidad interna no forma parte del SLO propio, pero su error debe degradarse de forma segura y medible.</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7"/>
              </w:rPr>
              <w:t>Catálogo</w:t>
            </w:r>
          </w:p>
        </w:tc>
        <w:tc>
          <w:tcPr>
            <w:tcW w:type="dxa" w:w="7660"/>
            <w:tcMar>
              <w:top w:w="80" w:type="dxa"/>
              <w:start w:w="120" w:type="dxa"/>
              <w:bottom w:w="80" w:type="dxa"/>
              <w:end w:w="120" w:type="dxa"/>
            </w:tcMar>
            <w:vAlign w:val="center"/>
          </w:tcPr>
          <w:p>
            <w:pPr>
              <w:pStyle w:val="TableText"/>
            </w:pPr>
            <w:r/>
            <w:r>
              <w:rPr>
                <w:rFonts w:ascii="Calibri" w:hAnsi="Calibri" w:eastAsia="Calibri"/>
                <w:b w:val="0"/>
                <w:i w:val="0"/>
                <w:color w:val="000000"/>
                <w:sz w:val="17"/>
              </w:rPr>
              <w:t>La carga nominal es una base de diseño, no una obligación de tener 5.000 canciones curadas al lanzar.</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7"/>
              </w:rPr>
              <w:t>Móvil</w:t>
            </w:r>
          </w:p>
        </w:tc>
        <w:tc>
          <w:tcPr>
            <w:tcW w:type="dxa" w:w="7660"/>
            <w:tcMar>
              <w:top w:w="80" w:type="dxa"/>
              <w:start w:w="120" w:type="dxa"/>
              <w:bottom w:w="80" w:type="dxa"/>
              <w:end w:w="120" w:type="dxa"/>
            </w:tcMar>
            <w:vAlign w:val="center"/>
          </w:tcPr>
          <w:p>
            <w:pPr>
              <w:pStyle w:val="TableText"/>
            </w:pPr>
            <w:r/>
            <w:r>
              <w:rPr>
                <w:rFonts w:ascii="Calibri" w:hAnsi="Calibri" w:eastAsia="Calibri"/>
                <w:b w:val="0"/>
                <w:i w:val="0"/>
                <w:color w:val="000000"/>
                <w:sz w:val="17"/>
              </w:rPr>
              <w:t>El MVP es web responsivo; no exige aplicación nativa ni funcionamiento sin conexión.</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7"/>
              </w:rPr>
              <w:t>Integraciones</w:t>
            </w:r>
          </w:p>
        </w:tc>
        <w:tc>
          <w:tcPr>
            <w:tcW w:type="dxa" w:w="7660"/>
            <w:tcMar>
              <w:top w:w="80" w:type="dxa"/>
              <w:start w:w="120" w:type="dxa"/>
              <w:bottom w:w="80" w:type="dxa"/>
              <w:end w:w="120" w:type="dxa"/>
            </w:tcMar>
            <w:vAlign w:val="center"/>
          </w:tcPr>
          <w:p>
            <w:pPr>
              <w:pStyle w:val="TableText"/>
            </w:pPr>
            <w:r/>
            <w:r>
              <w:rPr>
                <w:rFonts w:ascii="Calibri" w:hAnsi="Calibri" w:eastAsia="Calibri"/>
                <w:b w:val="0"/>
                <w:i w:val="0"/>
                <w:color w:val="000000"/>
                <w:sz w:val="17"/>
              </w:rPr>
              <w:t>No se autoriza analítica, traducción, diccionario, búsqueda o transcripción externa por omisión.</w:t>
            </w:r>
          </w:p>
        </w:tc>
      </w:tr>
      <w:tr>
        <w:trPr>
          <w:cantSplit/>
        </w:trPr>
        <w:tc>
          <w:tcPr>
            <w:tcW w:type="dxa" w:w="1700"/>
            <w:tcMar>
              <w:top w:w="80" w:type="dxa"/>
              <w:start w:w="120" w:type="dxa"/>
              <w:bottom w:w="80" w:type="dxa"/>
              <w:end w:w="120" w:type="dxa"/>
            </w:tcMar>
            <w:vAlign w:val="center"/>
          </w:tcPr>
          <w:p>
            <w:pPr>
              <w:pStyle w:val="TableText"/>
            </w:pPr>
            <w:r/>
            <w:r>
              <w:rPr>
                <w:rFonts w:ascii="Calibri" w:hAnsi="Calibri" w:eastAsia="Calibri"/>
                <w:b w:val="0"/>
                <w:i w:val="0"/>
                <w:color w:val="000000"/>
                <w:sz w:val="17"/>
              </w:rPr>
              <w:t>Operación</w:t>
            </w:r>
          </w:p>
        </w:tc>
        <w:tc>
          <w:tcPr>
            <w:tcW w:type="dxa" w:w="7660"/>
            <w:tcMar>
              <w:top w:w="80" w:type="dxa"/>
              <w:start w:w="120" w:type="dxa"/>
              <w:bottom w:w="80" w:type="dxa"/>
              <w:end w:w="120" w:type="dxa"/>
            </w:tcMar>
            <w:vAlign w:val="center"/>
          </w:tcPr>
          <w:p>
            <w:pPr>
              <w:pStyle w:val="TableText"/>
            </w:pPr>
            <w:r/>
            <w:r>
              <w:rPr>
                <w:rFonts w:ascii="Calibri" w:hAnsi="Calibri" w:eastAsia="Calibri"/>
                <w:b w:val="0"/>
                <w:i w:val="0"/>
                <w:color w:val="000000"/>
                <w:sz w:val="17"/>
              </w:rPr>
              <w:t>Los controles periódicos se configuran y ensayan antes de liberar aunque su primera ventana real ocurra después.</w:t>
            </w:r>
          </w:p>
        </w:tc>
      </w:tr>
    </w:tbl>
    <w:p>
      <w:pPr>
        <w:pStyle w:val="SmallNote"/>
        <w:spacing w:after="40"/>
      </w:pPr>
    </w:p>
    <w:p>
      <w:pPr>
        <w:pStyle w:val="Heading2"/>
      </w:pPr>
      <w:r>
        <w:t>18.1 Regla de cambio</w:t>
      </w:r>
    </w:p>
    <w:p>
      <w:r>
        <w:t>Cambiar un umbral requiere una decisión registrada con RNF afectado, medición actual, motivo, riesgo, impacto sobre CE/F, responsable y fecha efectiva. Reducir un objetivo para aprobar un candidato ya probado no es válido sin rebaselinar el documento.</w:t>
      </w:r>
    </w:p>
    <w:p>
      <w:pPr>
        <w:pStyle w:val="CalloutText"/>
        <w:keepLines/>
        <w:spacing w:before="80" w:after="160"/>
        <w:ind w:left="160" w:right="160"/>
        <w:shd w:fill="F4F6F9"/>
        <w:pBdr>
          <w:top w:val="single" w:sz="8" w:space="5" w:color="2E74B5"/>
          <w:left w:val="single" w:sz="8" w:space="5" w:color="2E74B5"/>
          <w:bottom w:val="single" w:sz="8" w:space="5" w:color="2E74B5"/>
          <w:right w:val="single" w:sz="8" w:space="5" w:color="2E74B5"/>
        </w:pBdr>
      </w:pPr>
      <w:r>
        <w:rPr>
          <w:rFonts w:ascii="Calibri" w:hAnsi="Calibri" w:eastAsia="Calibri"/>
          <w:b/>
          <w:i w:val="0"/>
          <w:color w:val="2E74B5"/>
          <w:sz w:val="20"/>
        </w:rPr>
        <w:t xml:space="preserve">Relación con la arquitectura. </w:t>
      </w:r>
      <w:r>
        <w:rPr>
          <w:rFonts w:ascii="Calibri" w:hAnsi="Calibri" w:eastAsia="Calibri"/>
          <w:b w:val="0"/>
          <w:i w:val="0"/>
          <w:color w:val="000000"/>
          <w:sz w:val="19"/>
        </w:rPr>
        <w:t>El siguiente diseño técnico podrá escoger tecnologías y topología, pero no podrá sustituir estos resultados por promesas de proveedor. Cada decisión arquitectónica deberá indicar qué RNF satisface y mediante qué prueba.</w:t>
      </w:r>
    </w:p>
    <w:p>
      <w:pPr>
        <w:pStyle w:val="Heading1"/>
      </w:pPr>
      <w:r>
        <w:t>19. Referencias normativas</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300"/>
        <w:gridCol w:w="4100"/>
        <w:gridCol w:w="3960"/>
      </w:tblGrid>
      <w:tr>
        <w:trPr>
          <w:tblHeader w:val="true"/>
          <w:cantSplit/>
        </w:trPr>
        <w:tc>
          <w:tcPr>
            <w:tcW w:type="dxa" w:w="13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Fuente</w:t>
            </w:r>
          </w:p>
        </w:tc>
        <w:tc>
          <w:tcPr>
            <w:tcW w:type="dxa" w:w="41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Documento</w:t>
            </w:r>
          </w:p>
        </w:tc>
        <w:tc>
          <w:tcPr>
            <w:tcW w:type="dxa" w:w="39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6"/>
              </w:rPr>
              <w:t>Dirección</w:t>
            </w:r>
          </w:p>
        </w:tc>
      </w:tr>
      <w:tr>
        <w:trPr>
          <w:cantSplit/>
        </w:trPr>
        <w:tc>
          <w:tcPr>
            <w:tcW w:type="dxa" w:w="1300"/>
            <w:tcMar>
              <w:top w:w="80" w:type="dxa"/>
              <w:start w:w="120" w:type="dxa"/>
              <w:bottom w:w="80" w:type="dxa"/>
              <w:end w:w="120" w:type="dxa"/>
            </w:tcMar>
            <w:vAlign w:val="center"/>
          </w:tcPr>
          <w:p>
            <w:pPr>
              <w:pStyle w:val="TableText"/>
            </w:pPr>
            <w:r/>
            <w:r>
              <w:rPr>
                <w:rFonts w:ascii="Calibri" w:hAnsi="Calibri" w:eastAsia="Calibri"/>
                <w:b w:val="0"/>
                <w:i w:val="0"/>
                <w:color w:val="000000"/>
                <w:sz w:val="16"/>
              </w:rPr>
              <w:t>W3C</w:t>
            </w:r>
          </w:p>
        </w:tc>
        <w:tc>
          <w:tcPr>
            <w:tcW w:type="dxa" w:w="4100"/>
            <w:tcMar>
              <w:top w:w="80" w:type="dxa"/>
              <w:start w:w="120" w:type="dxa"/>
              <w:bottom w:w="80" w:type="dxa"/>
              <w:end w:w="120" w:type="dxa"/>
            </w:tcMar>
            <w:vAlign w:val="center"/>
          </w:tcPr>
          <w:p>
            <w:pPr>
              <w:pStyle w:val="TableText"/>
            </w:pPr>
            <w:r/>
            <w:r>
              <w:rPr>
                <w:rFonts w:ascii="Calibri" w:hAnsi="Calibri" w:eastAsia="Calibri"/>
                <w:b w:val="0"/>
                <w:i w:val="0"/>
                <w:color w:val="000000"/>
                <w:sz w:val="16"/>
              </w:rPr>
              <w:t>Web Content Accessibility Guidelines (WCAG) 2.2, Recommendation, 12-12-2024.</w:t>
            </w:r>
          </w:p>
        </w:tc>
        <w:tc>
          <w:tcPr>
            <w:tcW w:type="dxa" w:w="3960"/>
            <w:tcMar>
              <w:top w:w="80" w:type="dxa"/>
              <w:start w:w="120" w:type="dxa"/>
              <w:bottom w:w="80" w:type="dxa"/>
              <w:end w:w="120" w:type="dxa"/>
            </w:tcMar>
            <w:vAlign w:val="center"/>
          </w:tcPr>
          <w:p>
            <w:pPr>
              <w:pStyle w:val="TableText"/>
            </w:pPr>
            <w:r/>
            <w:r>
              <w:rPr>
                <w:rFonts w:ascii="Calibri" w:hAnsi="Calibri" w:eastAsia="Calibri"/>
                <w:b w:val="0"/>
                <w:i w:val="0"/>
                <w:color w:val="000000"/>
                <w:sz w:val="16"/>
              </w:rPr>
              <w:t>https://www.w3.org/TR/WCAG22/</w:t>
            </w:r>
          </w:p>
        </w:tc>
      </w:tr>
      <w:tr>
        <w:trPr>
          <w:cantSplit/>
        </w:trPr>
        <w:tc>
          <w:tcPr>
            <w:tcW w:type="dxa" w:w="1300"/>
            <w:tcMar>
              <w:top w:w="80" w:type="dxa"/>
              <w:start w:w="120" w:type="dxa"/>
              <w:bottom w:w="80" w:type="dxa"/>
              <w:end w:w="120" w:type="dxa"/>
            </w:tcMar>
            <w:vAlign w:val="center"/>
          </w:tcPr>
          <w:p>
            <w:pPr>
              <w:pStyle w:val="TableText"/>
            </w:pPr>
            <w:r/>
            <w:r>
              <w:rPr>
                <w:rFonts w:ascii="Calibri" w:hAnsi="Calibri" w:eastAsia="Calibri"/>
                <w:b w:val="0"/>
                <w:i w:val="0"/>
                <w:color w:val="000000"/>
                <w:sz w:val="16"/>
              </w:rPr>
              <w:t>Google web.dev</w:t>
            </w:r>
          </w:p>
        </w:tc>
        <w:tc>
          <w:tcPr>
            <w:tcW w:type="dxa" w:w="4100"/>
            <w:tcMar>
              <w:top w:w="80" w:type="dxa"/>
              <w:start w:w="120" w:type="dxa"/>
              <w:bottom w:w="80" w:type="dxa"/>
              <w:end w:w="120" w:type="dxa"/>
            </w:tcMar>
            <w:vAlign w:val="center"/>
          </w:tcPr>
          <w:p>
            <w:pPr>
              <w:pStyle w:val="TableText"/>
            </w:pPr>
            <w:r/>
            <w:r>
              <w:rPr>
                <w:rFonts w:ascii="Calibri" w:hAnsi="Calibri" w:eastAsia="Calibri"/>
                <w:b w:val="0"/>
                <w:i w:val="0"/>
                <w:color w:val="000000"/>
                <w:sz w:val="16"/>
              </w:rPr>
              <w:t>Web Vitals: LCP, INP y CLS y sus umbrales actuales.</w:t>
            </w:r>
          </w:p>
        </w:tc>
        <w:tc>
          <w:tcPr>
            <w:tcW w:type="dxa" w:w="3960"/>
            <w:tcMar>
              <w:top w:w="80" w:type="dxa"/>
              <w:start w:w="120" w:type="dxa"/>
              <w:bottom w:w="80" w:type="dxa"/>
              <w:end w:w="120" w:type="dxa"/>
            </w:tcMar>
            <w:vAlign w:val="center"/>
          </w:tcPr>
          <w:p>
            <w:pPr>
              <w:pStyle w:val="TableText"/>
            </w:pPr>
            <w:r/>
            <w:r>
              <w:rPr>
                <w:rFonts w:ascii="Calibri" w:hAnsi="Calibri" w:eastAsia="Calibri"/>
                <w:b w:val="0"/>
                <w:i w:val="0"/>
                <w:color w:val="000000"/>
                <w:sz w:val="16"/>
              </w:rPr>
              <w:t>https://web.dev/articles/vitals</w:t>
            </w:r>
          </w:p>
        </w:tc>
      </w:tr>
      <w:tr>
        <w:trPr>
          <w:cantSplit/>
        </w:trPr>
        <w:tc>
          <w:tcPr>
            <w:tcW w:type="dxa" w:w="1300"/>
            <w:tcMar>
              <w:top w:w="80" w:type="dxa"/>
              <w:start w:w="120" w:type="dxa"/>
              <w:bottom w:w="80" w:type="dxa"/>
              <w:end w:w="120" w:type="dxa"/>
            </w:tcMar>
            <w:vAlign w:val="center"/>
          </w:tcPr>
          <w:p>
            <w:pPr>
              <w:pStyle w:val="TableText"/>
            </w:pPr>
            <w:r/>
            <w:r>
              <w:rPr>
                <w:rFonts w:ascii="Calibri" w:hAnsi="Calibri" w:eastAsia="Calibri"/>
                <w:b w:val="0"/>
                <w:i w:val="0"/>
                <w:color w:val="000000"/>
                <w:sz w:val="16"/>
              </w:rPr>
              <w:t>NIST</w:t>
            </w:r>
          </w:p>
        </w:tc>
        <w:tc>
          <w:tcPr>
            <w:tcW w:type="dxa" w:w="4100"/>
            <w:tcMar>
              <w:top w:w="80" w:type="dxa"/>
              <w:start w:w="120" w:type="dxa"/>
              <w:bottom w:w="80" w:type="dxa"/>
              <w:end w:w="120" w:type="dxa"/>
            </w:tcMar>
            <w:vAlign w:val="center"/>
          </w:tcPr>
          <w:p>
            <w:pPr>
              <w:pStyle w:val="TableText"/>
            </w:pPr>
            <w:r/>
            <w:r>
              <w:rPr>
                <w:rFonts w:ascii="Calibri" w:hAnsi="Calibri" w:eastAsia="Calibri"/>
                <w:b w:val="0"/>
                <w:i w:val="0"/>
                <w:color w:val="000000"/>
                <w:sz w:val="16"/>
              </w:rPr>
              <w:t>Special Publication 800-63B-4: Authentication and Authenticator Management.</w:t>
            </w:r>
          </w:p>
        </w:tc>
        <w:tc>
          <w:tcPr>
            <w:tcW w:type="dxa" w:w="3960"/>
            <w:tcMar>
              <w:top w:w="80" w:type="dxa"/>
              <w:start w:w="120" w:type="dxa"/>
              <w:bottom w:w="80" w:type="dxa"/>
              <w:end w:w="120" w:type="dxa"/>
            </w:tcMar>
            <w:vAlign w:val="center"/>
          </w:tcPr>
          <w:p>
            <w:pPr>
              <w:pStyle w:val="TableText"/>
            </w:pPr>
            <w:r/>
            <w:r>
              <w:rPr>
                <w:rFonts w:ascii="Calibri" w:hAnsi="Calibri" w:eastAsia="Calibri"/>
                <w:b w:val="0"/>
                <w:i w:val="0"/>
                <w:color w:val="000000"/>
                <w:sz w:val="16"/>
              </w:rPr>
              <w:t>https://pages.nist.gov/800-63-4/sp800-63b.html</w:t>
            </w:r>
          </w:p>
        </w:tc>
      </w:tr>
      <w:tr>
        <w:trPr>
          <w:cantSplit/>
        </w:trPr>
        <w:tc>
          <w:tcPr>
            <w:tcW w:type="dxa" w:w="1300"/>
            <w:tcMar>
              <w:top w:w="80" w:type="dxa"/>
              <w:start w:w="120" w:type="dxa"/>
              <w:bottom w:w="80" w:type="dxa"/>
              <w:end w:w="120" w:type="dxa"/>
            </w:tcMar>
            <w:vAlign w:val="center"/>
          </w:tcPr>
          <w:p>
            <w:pPr>
              <w:pStyle w:val="TableText"/>
            </w:pPr>
            <w:r/>
            <w:r>
              <w:rPr>
                <w:rFonts w:ascii="Calibri" w:hAnsi="Calibri" w:eastAsia="Calibri"/>
                <w:b w:val="0"/>
                <w:i w:val="0"/>
                <w:color w:val="000000"/>
                <w:sz w:val="16"/>
              </w:rPr>
              <w:t>OWASP</w:t>
            </w:r>
          </w:p>
        </w:tc>
        <w:tc>
          <w:tcPr>
            <w:tcW w:type="dxa" w:w="4100"/>
            <w:tcMar>
              <w:top w:w="80" w:type="dxa"/>
              <w:start w:w="120" w:type="dxa"/>
              <w:bottom w:w="80" w:type="dxa"/>
              <w:end w:w="120" w:type="dxa"/>
            </w:tcMar>
            <w:vAlign w:val="center"/>
          </w:tcPr>
          <w:p>
            <w:pPr>
              <w:pStyle w:val="TableText"/>
            </w:pPr>
            <w:r/>
            <w:r>
              <w:rPr>
                <w:rFonts w:ascii="Calibri" w:hAnsi="Calibri" w:eastAsia="Calibri"/>
                <w:b w:val="0"/>
                <w:i w:val="0"/>
                <w:color w:val="000000"/>
                <w:sz w:val="16"/>
              </w:rPr>
              <w:t>Application Security Verification Standard 5.0.0.</w:t>
            </w:r>
          </w:p>
        </w:tc>
        <w:tc>
          <w:tcPr>
            <w:tcW w:type="dxa" w:w="3960"/>
            <w:tcMar>
              <w:top w:w="80" w:type="dxa"/>
              <w:start w:w="120" w:type="dxa"/>
              <w:bottom w:w="80" w:type="dxa"/>
              <w:end w:w="120" w:type="dxa"/>
            </w:tcMar>
            <w:vAlign w:val="center"/>
          </w:tcPr>
          <w:p>
            <w:pPr>
              <w:pStyle w:val="TableText"/>
            </w:pPr>
            <w:r/>
            <w:r>
              <w:rPr>
                <w:rFonts w:ascii="Calibri" w:hAnsi="Calibri" w:eastAsia="Calibri"/>
                <w:b w:val="0"/>
                <w:i w:val="0"/>
                <w:color w:val="000000"/>
                <w:sz w:val="16"/>
              </w:rPr>
              <w:t>https://owasp.org/www-project-application-security-verification-standard/</w:t>
            </w:r>
          </w:p>
        </w:tc>
      </w:tr>
      <w:tr>
        <w:trPr>
          <w:cantSplit/>
        </w:trPr>
        <w:tc>
          <w:tcPr>
            <w:tcW w:type="dxa" w:w="1300"/>
            <w:tcMar>
              <w:top w:w="80" w:type="dxa"/>
              <w:start w:w="120" w:type="dxa"/>
              <w:bottom w:w="80" w:type="dxa"/>
              <w:end w:w="120" w:type="dxa"/>
            </w:tcMar>
            <w:vAlign w:val="center"/>
          </w:tcPr>
          <w:p>
            <w:pPr>
              <w:pStyle w:val="TableText"/>
            </w:pPr>
            <w:r/>
            <w:r>
              <w:rPr>
                <w:rFonts w:ascii="Calibri" w:hAnsi="Calibri" w:eastAsia="Calibri"/>
                <w:b w:val="0"/>
                <w:i w:val="0"/>
                <w:color w:val="000000"/>
                <w:sz w:val="16"/>
              </w:rPr>
              <w:t>YouTube</w:t>
            </w:r>
          </w:p>
        </w:tc>
        <w:tc>
          <w:tcPr>
            <w:tcW w:type="dxa" w:w="4100"/>
            <w:tcMar>
              <w:top w:w="80" w:type="dxa"/>
              <w:start w:w="120" w:type="dxa"/>
              <w:bottom w:w="80" w:type="dxa"/>
              <w:end w:w="120" w:type="dxa"/>
            </w:tcMar>
            <w:vAlign w:val="center"/>
          </w:tcPr>
          <w:p>
            <w:pPr>
              <w:pStyle w:val="TableText"/>
            </w:pPr>
            <w:r/>
            <w:r>
              <w:rPr>
                <w:rFonts w:ascii="Calibri" w:hAnsi="Calibri" w:eastAsia="Calibri"/>
                <w:b w:val="0"/>
                <w:i w:val="0"/>
                <w:color w:val="000000"/>
                <w:sz w:val="16"/>
              </w:rPr>
              <w:t>IFrame Player API Reference.</w:t>
            </w:r>
          </w:p>
        </w:tc>
        <w:tc>
          <w:tcPr>
            <w:tcW w:type="dxa" w:w="3960"/>
            <w:tcMar>
              <w:top w:w="80" w:type="dxa"/>
              <w:start w:w="120" w:type="dxa"/>
              <w:bottom w:w="80" w:type="dxa"/>
              <w:end w:w="120" w:type="dxa"/>
            </w:tcMar>
            <w:vAlign w:val="center"/>
          </w:tcPr>
          <w:p>
            <w:pPr>
              <w:pStyle w:val="TableText"/>
            </w:pPr>
            <w:r/>
            <w:r>
              <w:rPr>
                <w:rFonts w:ascii="Calibri" w:hAnsi="Calibri" w:eastAsia="Calibri"/>
                <w:b w:val="0"/>
                <w:i w:val="0"/>
                <w:color w:val="000000"/>
                <w:sz w:val="16"/>
              </w:rPr>
              <w:t>https://developers.google.com/youtube/iframe_api_reference</w:t>
            </w:r>
          </w:p>
        </w:tc>
      </w:tr>
      <w:tr>
        <w:trPr>
          <w:cantSplit/>
        </w:trPr>
        <w:tc>
          <w:tcPr>
            <w:tcW w:type="dxa" w:w="1300"/>
            <w:tcMar>
              <w:top w:w="80" w:type="dxa"/>
              <w:start w:w="120" w:type="dxa"/>
              <w:bottom w:w="80" w:type="dxa"/>
              <w:end w:w="120" w:type="dxa"/>
            </w:tcMar>
            <w:vAlign w:val="center"/>
          </w:tcPr>
          <w:p>
            <w:pPr>
              <w:pStyle w:val="TableText"/>
            </w:pPr>
            <w:r/>
            <w:r>
              <w:rPr>
                <w:rFonts w:ascii="Calibri" w:hAnsi="Calibri" w:eastAsia="Calibri"/>
                <w:b w:val="0"/>
                <w:i w:val="0"/>
                <w:color w:val="000000"/>
                <w:sz w:val="16"/>
              </w:rPr>
              <w:t>YouTube</w:t>
            </w:r>
          </w:p>
        </w:tc>
        <w:tc>
          <w:tcPr>
            <w:tcW w:type="dxa" w:w="4100"/>
            <w:tcMar>
              <w:top w:w="80" w:type="dxa"/>
              <w:start w:w="120" w:type="dxa"/>
              <w:bottom w:w="80" w:type="dxa"/>
              <w:end w:w="120" w:type="dxa"/>
            </w:tcMar>
            <w:vAlign w:val="center"/>
          </w:tcPr>
          <w:p>
            <w:pPr>
              <w:pStyle w:val="TableText"/>
            </w:pPr>
            <w:r/>
            <w:r>
              <w:rPr>
                <w:rFonts w:ascii="Calibri" w:hAnsi="Calibri" w:eastAsia="Calibri"/>
                <w:b w:val="0"/>
                <w:i w:val="0"/>
                <w:color w:val="000000"/>
                <w:sz w:val="16"/>
              </w:rPr>
              <w:t>Embed videos and playlists: Privacy Enhanced Mode.</w:t>
            </w:r>
          </w:p>
        </w:tc>
        <w:tc>
          <w:tcPr>
            <w:tcW w:type="dxa" w:w="3960"/>
            <w:tcMar>
              <w:top w:w="80" w:type="dxa"/>
              <w:start w:w="120" w:type="dxa"/>
              <w:bottom w:w="80" w:type="dxa"/>
              <w:end w:w="120" w:type="dxa"/>
            </w:tcMar>
            <w:vAlign w:val="center"/>
          </w:tcPr>
          <w:p>
            <w:pPr>
              <w:pStyle w:val="TableText"/>
            </w:pPr>
            <w:r/>
            <w:r>
              <w:rPr>
                <w:rFonts w:ascii="Calibri" w:hAnsi="Calibri" w:eastAsia="Calibri"/>
                <w:b w:val="0"/>
                <w:i w:val="0"/>
                <w:color w:val="000000"/>
                <w:sz w:val="16"/>
              </w:rPr>
              <w:t>https://support.google.com/youtube/answer/171780</w:t>
            </w:r>
          </w:p>
        </w:tc>
      </w:tr>
    </w:tbl>
    <w:p>
      <w:pPr>
        <w:pStyle w:val="SmallNote"/>
        <w:spacing w:after="40"/>
      </w:pPr>
    </w:p>
    <w:p>
      <w:pPr>
        <w:pStyle w:val="SmallNote"/>
      </w:pPr>
      <w:r>
        <w:rPr>
          <w:rFonts w:ascii="Calibri" w:hAnsi="Calibri" w:eastAsia="Calibri"/>
          <w:b w:val="0"/>
          <w:i/>
          <w:color w:val="666666"/>
          <w:sz w:val="18"/>
        </w:rPr>
        <w:t>Consultadas el 22 de julio de 2026. Las versiones futuras requieren revisión formal antes de modificar la línea base.</w:t>
      </w:r>
    </w:p>
    <w:p>
      <w:r>
        <w:br w:type="page"/>
      </w:r>
    </w:p>
    <w:p>
      <w:pPr>
        <w:pStyle w:val="Heading1"/>
      </w:pPr>
      <w:r>
        <w:t>Anexo A. Resumen de umbrales globales</w:t>
      </w:r>
    </w:p>
    <w:tbl>
      <w:tblPr>
        <w:tblW w:type="dxa" w:w="9360"/>
        <w:jc w:val="left"/>
        <w:tblLayout w:type="fixed"/>
        <w:tblLook w:firstColumn="1" w:firstRow="1" w:lastColumn="0" w:lastRow="0" w:noHBand="0" w:noVBand="1" w:val="04A0"/>
        <w:tblInd w:w="120" w:type="dxa"/>
        <w:tblBorders>
          <w:top w:val="single" w:sz="6" w:space="0" w:color="B8C4CE"/>
          <w:left w:val="single" w:sz="6" w:space="0" w:color="B8C4CE"/>
          <w:bottom w:val="single" w:sz="6" w:space="0" w:color="B8C4CE"/>
          <w:right w:val="single" w:sz="6" w:space="0" w:color="B8C4CE"/>
          <w:insideH w:val="single" w:sz="6" w:space="0" w:color="B8C4CE"/>
          <w:insideV w:val="single" w:sz="6" w:space="0" w:color="B8C4CE"/>
        </w:tblBorders>
      </w:tblPr>
      <w:tblGrid>
        <w:gridCol w:w="1800"/>
        <w:gridCol w:w="7560"/>
      </w:tblGrid>
      <w:tr>
        <w:trPr>
          <w:tblHeader w:val="true"/>
          <w:cantSplit/>
        </w:trPr>
        <w:tc>
          <w:tcPr>
            <w:tcW w:type="dxa" w:w="180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8"/>
              </w:rPr>
              <w:t>Área</w:t>
            </w:r>
          </w:p>
        </w:tc>
        <w:tc>
          <w:tcPr>
            <w:tcW w:type="dxa" w:w="7560"/>
            <w:shd w:fill="E8EEF5"/>
            <w:tcMar>
              <w:top w:w="80" w:type="dxa"/>
              <w:start w:w="120" w:type="dxa"/>
              <w:bottom w:w="80" w:type="dxa"/>
              <w:end w:w="120" w:type="dxa"/>
            </w:tcMar>
            <w:vAlign w:val="center"/>
          </w:tcPr>
          <w:p>
            <w:pPr>
              <w:pStyle w:val="TableHeader"/>
            </w:pPr>
            <w:r/>
            <w:r>
              <w:rPr>
                <w:rFonts w:ascii="Calibri" w:hAnsi="Calibri" w:eastAsia="Calibri"/>
                <w:b/>
                <w:i w:val="0"/>
                <w:color w:val="0B2545"/>
                <w:sz w:val="18"/>
              </w:rPr>
              <w:t>Umbral de referencia</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8"/>
              </w:rPr>
              <w:t>Experiencia web</w:t>
            </w:r>
          </w:p>
        </w:tc>
        <w:tc>
          <w:tcPr>
            <w:tcW w:type="dxa" w:w="7560"/>
            <w:tcMar>
              <w:top w:w="80" w:type="dxa"/>
              <w:start w:w="120" w:type="dxa"/>
              <w:bottom w:w="80" w:type="dxa"/>
              <w:end w:w="120" w:type="dxa"/>
            </w:tcMar>
            <w:vAlign w:val="center"/>
          </w:tcPr>
          <w:p>
            <w:pPr>
              <w:pStyle w:val="TableText"/>
            </w:pPr>
            <w:r/>
            <w:r>
              <w:rPr>
                <w:rFonts w:ascii="Calibri" w:hAnsi="Calibri" w:eastAsia="Calibri"/>
                <w:b w:val="0"/>
                <w:i w:val="0"/>
                <w:color w:val="000000"/>
                <w:sz w:val="18"/>
              </w:rPr>
              <w:t>LCP &lt;= 2,5 s; INP &lt;= 200 ms; CLS &lt;= 0,10; todos en p75</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8"/>
              </w:rPr>
              <w:t>API</w:t>
            </w:r>
          </w:p>
        </w:tc>
        <w:tc>
          <w:tcPr>
            <w:tcW w:type="dxa" w:w="7560"/>
            <w:tcMar>
              <w:top w:w="80" w:type="dxa"/>
              <w:start w:w="120" w:type="dxa"/>
              <w:bottom w:w="80" w:type="dxa"/>
              <w:end w:w="120" w:type="dxa"/>
            </w:tcMar>
            <w:vAlign w:val="center"/>
          </w:tcPr>
          <w:p>
            <w:pPr>
              <w:pStyle w:val="TableText"/>
            </w:pPr>
            <w:r/>
            <w:r>
              <w:rPr>
                <w:rFonts w:ascii="Calibri" w:hAnsi="Calibri" w:eastAsia="Calibri"/>
                <w:b w:val="0"/>
                <w:i w:val="0"/>
                <w:color w:val="000000"/>
                <w:sz w:val="18"/>
              </w:rPr>
              <w:t>Lectura p95 &lt;= 500 ms; escritura p95 &lt;= 800 ms</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8"/>
              </w:rPr>
              <w:t>Sincronización</w:t>
            </w:r>
          </w:p>
        </w:tc>
        <w:tc>
          <w:tcPr>
            <w:tcW w:type="dxa" w:w="7560"/>
            <w:tcMar>
              <w:top w:w="80" w:type="dxa"/>
              <w:start w:w="120" w:type="dxa"/>
              <w:bottom w:w="80" w:type="dxa"/>
              <w:end w:w="120" w:type="dxa"/>
            </w:tcMar>
            <w:vAlign w:val="center"/>
          </w:tcPr>
          <w:p>
            <w:pPr>
              <w:pStyle w:val="TableText"/>
            </w:pPr>
            <w:r/>
            <w:r>
              <w:rPr>
                <w:rFonts w:ascii="Calibri" w:hAnsi="Calibri" w:eastAsia="Calibri"/>
                <w:b w:val="0"/>
                <w:i w:val="0"/>
                <w:color w:val="000000"/>
                <w:sz w:val="18"/>
              </w:rPr>
              <w:t>Desfase p95 &lt;= 250 ms; resincronización p95 &lt;= 300 ms</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8"/>
              </w:rPr>
              <w:t>Disponibilidad</w:t>
            </w:r>
          </w:p>
        </w:tc>
        <w:tc>
          <w:tcPr>
            <w:tcW w:type="dxa" w:w="7560"/>
            <w:tcMar>
              <w:top w:w="80" w:type="dxa"/>
              <w:start w:w="120" w:type="dxa"/>
              <w:bottom w:w="80" w:type="dxa"/>
              <w:end w:w="120" w:type="dxa"/>
            </w:tcMar>
            <w:vAlign w:val="center"/>
          </w:tcPr>
          <w:p>
            <w:pPr>
              <w:pStyle w:val="TableText"/>
            </w:pPr>
            <w:r/>
            <w:r>
              <w:rPr>
                <w:rFonts w:ascii="Calibri" w:hAnsi="Calibri" w:eastAsia="Calibri"/>
                <w:b w:val="0"/>
                <w:i w:val="0"/>
                <w:color w:val="000000"/>
                <w:sz w:val="18"/>
              </w:rPr>
              <w:t>&gt;= 99,5 % mensual; ningún incidente P1 continuo &gt; 60 min</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8"/>
              </w:rPr>
              <w:t>Carga nominal</w:t>
            </w:r>
          </w:p>
        </w:tc>
        <w:tc>
          <w:tcPr>
            <w:tcW w:type="dxa" w:w="7560"/>
            <w:tcMar>
              <w:top w:w="80" w:type="dxa"/>
              <w:start w:w="120" w:type="dxa"/>
              <w:bottom w:w="80" w:type="dxa"/>
              <w:end w:w="120" w:type="dxa"/>
            </w:tcMar>
            <w:vAlign w:val="center"/>
          </w:tcPr>
          <w:p>
            <w:pPr>
              <w:pStyle w:val="TableText"/>
            </w:pPr>
            <w:r/>
            <w:r>
              <w:rPr>
                <w:rFonts w:ascii="Calibri" w:hAnsi="Calibri" w:eastAsia="Calibri"/>
                <w:b w:val="0"/>
                <w:i w:val="0"/>
                <w:color w:val="000000"/>
                <w:sz w:val="18"/>
              </w:rPr>
              <w:t>100 usuarios; 20 solicitudes/s por 30 min; ráfaga 60 solicitudes/s por 2 min</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8"/>
              </w:rPr>
              <w:t>Recuperación</w:t>
            </w:r>
          </w:p>
        </w:tc>
        <w:tc>
          <w:tcPr>
            <w:tcW w:type="dxa" w:w="7560"/>
            <w:tcMar>
              <w:top w:w="80" w:type="dxa"/>
              <w:start w:w="120" w:type="dxa"/>
              <w:bottom w:w="80" w:type="dxa"/>
              <w:end w:w="120" w:type="dxa"/>
            </w:tcMar>
            <w:vAlign w:val="center"/>
          </w:tcPr>
          <w:p>
            <w:pPr>
              <w:pStyle w:val="TableText"/>
            </w:pPr>
            <w:r/>
            <w:r>
              <w:rPr>
                <w:rFonts w:ascii="Calibri" w:hAnsi="Calibri" w:eastAsia="Calibri"/>
                <w:b w:val="0"/>
                <w:i w:val="0"/>
                <w:color w:val="000000"/>
                <w:sz w:val="18"/>
              </w:rPr>
              <w:t>RPO &lt;= 1 h; RTO &lt;= 4 h; retención de respaldo 35 días</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8"/>
              </w:rPr>
              <w:t>Seguridad</w:t>
            </w:r>
          </w:p>
        </w:tc>
        <w:tc>
          <w:tcPr>
            <w:tcW w:type="dxa" w:w="7560"/>
            <w:tcMar>
              <w:top w:w="80" w:type="dxa"/>
              <w:start w:w="120" w:type="dxa"/>
              <w:bottom w:w="80" w:type="dxa"/>
              <w:end w:w="120" w:type="dxa"/>
            </w:tcMar>
            <w:vAlign w:val="center"/>
          </w:tcPr>
          <w:p>
            <w:pPr>
              <w:pStyle w:val="TableText"/>
            </w:pPr>
            <w:r/>
            <w:r>
              <w:rPr>
                <w:rFonts w:ascii="Calibri" w:hAnsi="Calibri" w:eastAsia="Calibri"/>
                <w:b w:val="0"/>
                <w:i w:val="0"/>
                <w:color w:val="000000"/>
                <w:sz w:val="18"/>
              </w:rPr>
              <w:t>ASVS 5.0 aplicable; 0 críticos o altos abiertos</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8"/>
              </w:rPr>
              <w:t>Contraseña</w:t>
            </w:r>
          </w:p>
        </w:tc>
        <w:tc>
          <w:tcPr>
            <w:tcW w:type="dxa" w:w="7560"/>
            <w:tcMar>
              <w:top w:w="80" w:type="dxa"/>
              <w:start w:w="120" w:type="dxa"/>
              <w:bottom w:w="80" w:type="dxa"/>
              <w:end w:w="120" w:type="dxa"/>
            </w:tcMar>
            <w:vAlign w:val="center"/>
          </w:tcPr>
          <w:p>
            <w:pPr>
              <w:pStyle w:val="TableText"/>
            </w:pPr>
            <w:r/>
            <w:r>
              <w:rPr>
                <w:rFonts w:ascii="Calibri" w:hAnsi="Calibri" w:eastAsia="Calibri"/>
                <w:b w:val="0"/>
                <w:i w:val="0"/>
                <w:color w:val="000000"/>
                <w:sz w:val="18"/>
              </w:rPr>
              <w:t>Mínimo 15 sin MFA; máximo &gt;= 64; Unicode y espacios</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8"/>
              </w:rPr>
              <w:t>Accesibilidad</w:t>
            </w:r>
          </w:p>
        </w:tc>
        <w:tc>
          <w:tcPr>
            <w:tcW w:type="dxa" w:w="7560"/>
            <w:tcMar>
              <w:top w:w="80" w:type="dxa"/>
              <w:start w:w="120" w:type="dxa"/>
              <w:bottom w:w="80" w:type="dxa"/>
              <w:end w:w="120" w:type="dxa"/>
            </w:tcMar>
            <w:vAlign w:val="center"/>
          </w:tcPr>
          <w:p>
            <w:pPr>
              <w:pStyle w:val="TableText"/>
            </w:pPr>
            <w:r/>
            <w:r>
              <w:rPr>
                <w:rFonts w:ascii="Calibri" w:hAnsi="Calibri" w:eastAsia="Calibri"/>
                <w:b w:val="0"/>
                <w:i w:val="0"/>
                <w:color w:val="000000"/>
                <w:sz w:val="18"/>
              </w:rPr>
              <w:t>WCAG 2.2 AA; 0 fallos A/AA en recorrido esencial</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8"/>
              </w:rPr>
              <w:t>Compatibilidad</w:t>
            </w:r>
          </w:p>
        </w:tc>
        <w:tc>
          <w:tcPr>
            <w:tcW w:type="dxa" w:w="7560"/>
            <w:tcMar>
              <w:top w:w="80" w:type="dxa"/>
              <w:start w:w="120" w:type="dxa"/>
              <w:bottom w:w="80" w:type="dxa"/>
              <w:end w:w="120" w:type="dxa"/>
            </w:tcMar>
            <w:vAlign w:val="center"/>
          </w:tcPr>
          <w:p>
            <w:pPr>
              <w:pStyle w:val="TableText"/>
            </w:pPr>
            <w:r/>
            <w:r>
              <w:rPr>
                <w:rFonts w:ascii="Calibri" w:hAnsi="Calibri" w:eastAsia="Calibri"/>
                <w:b w:val="0"/>
                <w:i w:val="0"/>
                <w:color w:val="000000"/>
                <w:sz w:val="18"/>
              </w:rPr>
              <w:t>Dos versiones de Chrome/Edge/Firefox; dos de Safari, iOS y Android</w:t>
            </w:r>
          </w:p>
        </w:tc>
      </w:tr>
      <w:tr>
        <w:trPr>
          <w:cantSplit/>
        </w:trPr>
        <w:tc>
          <w:tcPr>
            <w:tcW w:type="dxa" w:w="1800"/>
            <w:tcMar>
              <w:top w:w="80" w:type="dxa"/>
              <w:start w:w="120" w:type="dxa"/>
              <w:bottom w:w="80" w:type="dxa"/>
              <w:end w:w="120" w:type="dxa"/>
            </w:tcMar>
            <w:vAlign w:val="center"/>
          </w:tcPr>
          <w:p>
            <w:pPr>
              <w:pStyle w:val="TableText"/>
            </w:pPr>
            <w:r/>
            <w:r>
              <w:rPr>
                <w:rFonts w:ascii="Calibri" w:hAnsi="Calibri" w:eastAsia="Calibri"/>
                <w:b w:val="0"/>
                <w:i w:val="0"/>
                <w:color w:val="000000"/>
                <w:sz w:val="18"/>
              </w:rPr>
              <w:t>Calidad</w:t>
            </w:r>
          </w:p>
        </w:tc>
        <w:tc>
          <w:tcPr>
            <w:tcW w:type="dxa" w:w="7560"/>
            <w:tcMar>
              <w:top w:w="80" w:type="dxa"/>
              <w:start w:w="120" w:type="dxa"/>
              <w:bottom w:w="80" w:type="dxa"/>
              <w:end w:w="120" w:type="dxa"/>
            </w:tcMar>
            <w:vAlign w:val="center"/>
          </w:tcPr>
          <w:p>
            <w:pPr>
              <w:pStyle w:val="TableText"/>
            </w:pPr>
            <w:r/>
            <w:r>
              <w:rPr>
                <w:rFonts w:ascii="Calibri" w:hAnsi="Calibri" w:eastAsia="Calibri"/>
                <w:b w:val="0"/>
                <w:i w:val="0"/>
                <w:color w:val="000000"/>
                <w:sz w:val="18"/>
              </w:rPr>
              <w:t>CE-01 a CE-14, trazabilidad y evidencias al 100 %</w:t>
            </w:r>
          </w:p>
        </w:tc>
      </w:tr>
    </w:tbl>
    <w:p>
      <w:pPr>
        <w:pStyle w:val="SmallNote"/>
        <w:spacing w:after="40"/>
      </w:pPr>
    </w:p>
    <w:p>
      <w:pPr>
        <w:pStyle w:val="CalloutText"/>
        <w:keepLines/>
        <w:spacing w:before="80" w:after="160"/>
        <w:ind w:left="160" w:right="160"/>
        <w:shd w:fill="E8F3E8"/>
        <w:pBdr>
          <w:top w:val="single" w:sz="8" w:space="5" w:color="2E7D32"/>
          <w:left w:val="single" w:sz="8" w:space="5" w:color="2E7D32"/>
          <w:bottom w:val="single" w:sz="8" w:space="5" w:color="2E7D32"/>
          <w:right w:val="single" w:sz="8" w:space="5" w:color="2E7D32"/>
        </w:pBdr>
      </w:pPr>
      <w:r>
        <w:rPr>
          <w:rFonts w:ascii="Calibri" w:hAnsi="Calibri" w:eastAsia="Calibri"/>
          <w:b/>
          <w:i w:val="0"/>
          <w:color w:val="2E7D32"/>
          <w:sz w:val="20"/>
        </w:rPr>
        <w:t xml:space="preserve">Próximo entregable. </w:t>
      </w:r>
      <w:r>
        <w:rPr>
          <w:rFonts w:ascii="Calibri" w:hAnsi="Calibri" w:eastAsia="Calibri"/>
          <w:b w:val="0"/>
          <w:i w:val="0"/>
          <w:color w:val="000000"/>
          <w:sz w:val="19"/>
        </w:rPr>
        <w:t>Con el alcance funcional y la línea base no funcional definidos, el siguiente paso es redactar los actores, casos de uso y criterios de aceptación detallados del MVP, manteniendo trazabilidad con los RF P0 y con estos RNF.</w:t>
      </w:r>
    </w:p>
    <w:sectPr w:rsidR="00FC693F" w:rsidRPr="0006063C" w:rsidSect="00034616">
      <w:headerReference w:type="default" r:id="rId9"/>
      <w:footerReference w:type="default" r:id="rId10"/>
      <w:headerReference w:type="even"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66666"/>
        <w:sz w:val="18"/>
      </w:rPr>
      <w:t xml:space="preserve">Página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66666"/>
        <w:sz w:val="18"/>
      </w:rPr>
      <w:t xml:space="preserve">Página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i w:val="0"/>
        <w:color w:val="666666"/>
        <w:sz w:val="17"/>
      </w:rPr>
      <w:t>PLATAFORMA DE APRENDIZAJE DE JAPONÉS MEDIANTE CANCIONES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i w:val="0"/>
        <w:color w:val="666666"/>
        <w:sz w:val="17"/>
      </w:rPr>
      <w:t>PLATAFORMA DE APRENDIZAJE DE JAPONÉS MEDIANTE CANCIONES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lang w:val="es-CR"/>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lang w:val="es-CR"/>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lang w:val="es-C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Kicker">
    <w:name w:val="Cover Kicker"/>
    <w:pPr>
      <w:spacing w:before="0" w:after="120" w:line="240" w:lineRule="auto"/>
    </w:pPr>
    <w:rPr>
      <w:rFonts w:ascii="Calibri" w:hAnsi="Calibri"/>
      <w:b/>
      <w:color w:val="2E74B5"/>
      <w:sz w:val="20"/>
      <w:lang w:val="es-CR"/>
    </w:rPr>
  </w:style>
  <w:style w:type="paragraph" w:customStyle="1" w:styleId="CoverTitle">
    <w:name w:val="Cover Title"/>
    <w:pPr>
      <w:spacing w:before="0" w:after="160" w:line="240" w:lineRule="auto"/>
    </w:pPr>
    <w:rPr>
      <w:rFonts w:ascii="Calibri" w:hAnsi="Calibri"/>
      <w:b/>
      <w:color w:val="0B2545"/>
      <w:sz w:val="54"/>
      <w:lang w:val="es-CR"/>
    </w:rPr>
  </w:style>
  <w:style w:type="paragraph" w:customStyle="1" w:styleId="CoverSubtitle">
    <w:name w:val="Cover Subtitle"/>
    <w:pPr>
      <w:spacing w:before="0" w:after="400" w:line="264" w:lineRule="auto"/>
    </w:pPr>
    <w:rPr>
      <w:rFonts w:ascii="Calibri" w:hAnsi="Calibri"/>
      <w:b w:val="0"/>
      <w:color w:val="1F4D78"/>
      <w:sz w:val="28"/>
      <w:lang w:val="es-CR"/>
    </w:rPr>
  </w:style>
  <w:style w:type="paragraph" w:customStyle="1" w:styleId="TableText">
    <w:name w:val="Table Text"/>
    <w:pPr>
      <w:spacing w:before="0" w:after="0" w:line="252" w:lineRule="auto"/>
    </w:pPr>
    <w:rPr>
      <w:rFonts w:ascii="Calibri" w:hAnsi="Calibri"/>
      <w:b w:val="0"/>
      <w:color w:val="000000"/>
      <w:sz w:val="17"/>
      <w:lang w:val="es-CR"/>
    </w:rPr>
  </w:style>
  <w:style w:type="paragraph" w:customStyle="1" w:styleId="TableHeader">
    <w:name w:val="Table Header"/>
    <w:pPr>
      <w:spacing w:before="0" w:after="0" w:line="240" w:lineRule="auto"/>
    </w:pPr>
    <w:rPr>
      <w:rFonts w:ascii="Calibri" w:hAnsi="Calibri"/>
      <w:b/>
      <w:color w:val="0B2545"/>
      <w:sz w:val="17"/>
      <w:lang w:val="es-CR"/>
    </w:rPr>
  </w:style>
  <w:style w:type="paragraph" w:customStyle="1" w:styleId="SmallNote">
    <w:name w:val="Small Note"/>
    <w:pPr>
      <w:spacing w:before="0" w:after="80" w:line="264" w:lineRule="auto"/>
    </w:pPr>
    <w:rPr>
      <w:rFonts w:ascii="Calibri" w:hAnsi="Calibri"/>
      <w:b w:val="0"/>
      <w:color w:val="666666"/>
      <w:sz w:val="18"/>
      <w:lang w:val="es-CR"/>
    </w:rPr>
  </w:style>
  <w:style w:type="paragraph" w:customStyle="1" w:styleId="CalloutTitle">
    <w:name w:val="Callout Title"/>
    <w:pPr>
      <w:spacing w:before="0" w:after="60" w:line="240" w:lineRule="auto"/>
    </w:pPr>
    <w:rPr>
      <w:rFonts w:ascii="Calibri" w:hAnsi="Calibri"/>
      <w:b/>
      <w:color w:val="0B2545"/>
      <w:sz w:val="20"/>
      <w:lang w:val="es-CR"/>
    </w:rPr>
  </w:style>
  <w:style w:type="paragraph" w:customStyle="1" w:styleId="CalloutText">
    <w:name w:val="Callout Text"/>
    <w:pPr>
      <w:spacing w:before="0" w:after="0" w:line="276" w:lineRule="auto"/>
    </w:pPr>
    <w:rPr>
      <w:rFonts w:ascii="Calibri" w:hAnsi="Calibri"/>
      <w:b w:val="0"/>
      <w:color w:val="000000"/>
      <w:sz w:val="19"/>
      <w:lang w:val="es-CR"/>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Requerimientos no funcionales medibles del MVP</dc:title>
  <dc:subject>Plataforma de aprendizaje de japonés mediante canciones</dc:subject>
  <dc:creator>Ulises Villarevia</dc:creator>
  <cp:keywords>MVP, RNF, calidad, rendimiento, seguridad, accesibilidad, japonés, canciones</cp:keywords>
  <dc:description>Línea base no funcional vinculada al Documento Maestro M01-M19</dc:description>
  <cp:lastModifiedBy/>
  <cp:revision>1</cp:revision>
  <dcterms:created xsi:type="dcterms:W3CDTF">2013-12-23T23:15:00Z</dcterms:created>
  <dcterms:modified xsi:type="dcterms:W3CDTF">2013-12-23T23:15:00Z</dcterms:modified>
  <cp:category/>
</cp:coreProperties>
</file>