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JhengHei"/>
          <w:b/>
          <w:i w:val="0"/>
          <w:color w:val="2E74B5"/>
          <w:sz w:val="18"/>
        </w:rPr>
        <w:t>INTERNAL OPERATIONS HANDOFF</w:t>
      </w:r>
    </w:p>
    <w:p>
      <w:pPr>
        <w:spacing w:after="80"/>
      </w:pPr>
      <w:r>
        <w:rPr>
          <w:rFonts w:ascii="Calibri" w:hAnsi="Calibri" w:eastAsia="Microsoft JhengHei"/>
          <w:b/>
          <w:i w:val="0"/>
          <w:color w:val="0B2545"/>
          <w:sz w:val="48"/>
        </w:rPr>
        <w:t>Project LANTERN 客戶成功交接</w:t>
      </w:r>
    </w:p>
    <w:p>
      <w:pPr>
        <w:spacing w:after="280"/>
      </w:pPr>
      <w:r>
        <w:rPr>
          <w:rFonts w:ascii="Calibri" w:hAnsi="Calibri" w:eastAsia="Microsoft JhengHei"/>
          <w:b w:val="0"/>
          <w:i w:val="0"/>
          <w:color w:val="666666"/>
          <w:sz w:val="26"/>
        </w:rPr>
        <w:t>續約、健康度、會議節奏與升級窗口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3060"/>
        <w:gridCol w:w="300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文件編號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文件版本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交接負責人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基準日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LANTERN-HO-CS-004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v2.0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黃嘉文／資深客戶成功經理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2026 年 8 月 1 日</w:t>
            </w:r>
          </w:p>
        </w:tc>
      </w:tr>
    </w:tbl>
    <w:p>
      <w:pPr>
        <w:spacing w:after="40"/>
      </w:pPr>
    </w:p>
    <w:p/>
    <w:p>
      <w:pPr>
        <w:spacing w:after="200"/>
      </w:pPr>
      <w:r>
        <w:rPr>
          <w:rFonts w:ascii="Calibri" w:hAnsi="Calibri" w:eastAsia="Microsoft JhengHei"/>
          <w:b w:val="0"/>
          <w:i w:val="0"/>
          <w:color w:val="333333"/>
          <w:sz w:val="22"/>
        </w:rPr>
        <w:t>LANTERN 是跨區企業客戶。對外回覆必須以客戶已確認的里程碑為準；內部風險判斷不可直接轉寄給客戶。</w:t>
      </w:r>
    </w:p>
    <w:p>
      <w:pPr>
        <w:pStyle w:val="Heading1"/>
      </w:pPr>
      <w:r>
        <w:t>1. 帳戶健康與續約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項目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內容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下一步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續約日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2026 年 11 月 30 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提前 120 天啟動方案與預算確認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目前健康度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黃色；行動版 MAU 較上月下降 18%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兩週內完成使用者訪談並提出採用計畫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主要贊助人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Evelyn Wang／營運副總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重要範圍與預算變更須先取得她的書面確認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流失警訊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若 9 月 15 日前未通過 SSO pilot，列為高風險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每週追蹤資安審查與測試缺陷</w:t>
            </w:r>
          </w:p>
        </w:tc>
      </w:tr>
    </w:tbl>
    <w:p>
      <w:pPr>
        <w:spacing w:after="40"/>
      </w:pPr>
    </w:p>
    <w:p>
      <w:pPr>
        <w:pStyle w:val="Heading1"/>
      </w:pPr>
      <w:r>
        <w:t>2. 溝通節奏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900"/>
        <w:gridCol w:w="39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會議／渠道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固定時間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規則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每週進度同步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每週三 10:30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會前一天寄出阻塞項目與 owner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季度業務回顧 QBR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每季第一週週二 14:00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由客戶成功經理彙整採用率、價值與風險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緊急升級信箱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cs-lantern-urgent@example.com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只用於 P1、資料安全或合約即時風險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支援語言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繁體中文與英文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正式摘要提供雙語版本</w:t>
            </w:r>
          </w:p>
        </w:tc>
      </w:tr>
    </w:tbl>
    <w:p>
      <w:pPr>
        <w:spacing w:after="40"/>
      </w:pPr>
    </w:p>
    <w:p>
      <w:pPr>
        <w:pStyle w:val="Heading1"/>
      </w:pPr>
      <w:r>
        <w:t>3. 行動與環境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900"/>
        <w:gridCol w:w="37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項目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負責人／代碼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完成標準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NPS 負評追蹤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黃嘉文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48 小時內聯絡並記錄改善承諾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客戶展示環境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Tenant LTN-DEMO-07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每次展示前清除測試個資並確認版本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採用率報表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CS/LANTERN/Adoption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每週一更新並標註資料截止日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i w:val="0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JhengHei"/>
        <w:b/>
        <w:i w:val="0"/>
        <w:color w:val="666666"/>
        <w:sz w:val="18"/>
      </w:rPr>
      <w:t>HANDOFF REFERENCE  |  LANTERN-HO-CS-004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