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JhengHei"/>
          <w:b/>
          <w:i w:val="0"/>
          <w:color w:val="2E74B5"/>
          <w:sz w:val="18"/>
        </w:rPr>
        <w:t>INTERNAL OPERATIONS HANDOFF</w:t>
      </w:r>
    </w:p>
    <w:p>
      <w:pPr>
        <w:spacing w:after="80"/>
      </w:pPr>
      <w:r>
        <w:rPr>
          <w:rFonts w:ascii="Calibri" w:hAnsi="Calibri" w:eastAsia="Microsoft JhengHei"/>
          <w:b/>
          <w:i w:val="0"/>
          <w:color w:val="0B2545"/>
          <w:sz w:val="48"/>
        </w:rPr>
        <w:t>Project AURORA 採購財務交接</w:t>
      </w:r>
    </w:p>
    <w:p>
      <w:pPr>
        <w:spacing w:after="280"/>
      </w:pPr>
      <w:r>
        <w:rPr>
          <w:rFonts w:ascii="Calibri" w:hAnsi="Calibri" w:eastAsia="Microsoft JhengHei"/>
          <w:b w:val="0"/>
          <w:i w:val="0"/>
          <w:color w:val="666666"/>
          <w:sz w:val="26"/>
        </w:rPr>
        <w:t>供應商合約、請購、發票與稽核證據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060"/>
        <w:gridCol w:w="30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文件編號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文件版本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交接負責人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基準日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AURORA-HO-FIN-003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v2.0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林慧珊／採購與財務專員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2026 年 8 月 1 日</w:t>
            </w:r>
          </w:p>
        </w:tc>
      </w:tr>
    </w:tbl>
    <w:p>
      <w:pPr>
        <w:spacing w:after="40"/>
      </w:pPr>
    </w:p>
    <w:p/>
    <w:p>
      <w:pPr>
        <w:spacing w:after="200"/>
      </w:pPr>
      <w:r>
        <w:rPr>
          <w:rFonts w:ascii="Calibri" w:hAnsi="Calibri" w:eastAsia="Microsoft JhengHei"/>
          <w:b w:val="0"/>
          <w:i w:val="0"/>
          <w:color w:val="333333"/>
          <w:sz w:val="22"/>
        </w:rPr>
        <w:t>本文件是 AURORA 採購與付款作業索引。所有核准都必須在正式系統留痕，聊天訊息不可取代請購或付款核准。</w:t>
      </w:r>
    </w:p>
    <w:p>
      <w:pPr>
        <w:pStyle w:val="Heading1"/>
      </w:pPr>
      <w:r>
        <w:t>1. 合約與請購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900"/>
        <w:gridCol w:w="39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項目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值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控制規則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主要供應商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NovaPay Systems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供應商主檔異動須由採購與財務雙重覆核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採購單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AUR-PO-2026-117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追加金額需建立變更單，不可覆寫原始 PO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合約到期日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2027 年 3 月 31 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到期前 120 天啟動續約或替代方案評估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高額核准門檻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單筆超過新台幣 150,000 元須由 CFO 核准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拆單規避門檻視為控制缺失</w:t>
            </w:r>
          </w:p>
        </w:tc>
      </w:tr>
    </w:tbl>
    <w:p>
      <w:pPr>
        <w:spacing w:after="40"/>
      </w:pPr>
    </w:p>
    <w:p>
      <w:pPr>
        <w:pStyle w:val="Heading1"/>
      </w:pPr>
      <w:r>
        <w:t>2. 發票與付款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項目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作業方式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例外處理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付款條件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NET45；驗收完成日開始計算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未完成驗收不得提前起算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發票存放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FIN/AP/AURORA/2026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檔名使用供應商_發票號碼_日期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發票不符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暫停入帳，1 個工作天內通知財務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保留原始發票與差異說明，不得自行修改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作業負責人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林慧珊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請假時由財務代理人依同一控制流程處理</w:t>
            </w:r>
          </w:p>
        </w:tc>
      </w:tr>
    </w:tbl>
    <w:p>
      <w:pPr>
        <w:spacing w:after="40"/>
      </w:pPr>
    </w:p>
    <w:p>
      <w:pPr>
        <w:pStyle w:val="Heading1"/>
      </w:pPr>
      <w:r>
        <w:t>3. 授權與稽核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60"/>
        <w:gridCol w:w="290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控制項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規則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D78"/>
                <w:sz w:val="21"/>
              </w:rPr>
              <w:t>保存位置／期限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軟體授權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共 48 席；帳號閒置超過 30 天即回收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ITAM/AURORA/Licenses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付款證據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PO、驗收、發票與核准紀錄必須可相互勾稽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稽核證據保存 7 年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銀行資料變更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必須回撥供應商既有聯絡人確認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i w:val="0"/>
                <w:color w:val="000000"/>
                <w:sz w:val="20"/>
              </w:rPr>
              <w:t>FIN/Vendor-Control/Callbacks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i w:val="0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b/>
        <w:i w:val="0"/>
        <w:color w:val="666666"/>
        <w:sz w:val="18"/>
      </w:rPr>
      <w:t>HANDOFF REFERENCE  |  AURORA-HO-FIN-003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