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085DB" w14:textId="77777777" w:rsidR="00590A33" w:rsidRDefault="00590A33">
      <w:pPr>
        <w:pStyle w:val="Ttulo1"/>
        <w:rPr>
          <w:rFonts w:ascii="Calibri" w:eastAsia="Times New Roman" w:hAnsi="Calibri" w:cs="Calibri"/>
        </w:rPr>
      </w:pPr>
      <w:r>
        <w:rPr>
          <w:rStyle w:val="fill1"/>
          <w:rFonts w:ascii="Calibri" w:eastAsia="Times New Roman" w:hAnsi="Calibri" w:cs="Calibri"/>
          <w:b/>
          <w:bCs/>
        </w:rPr>
        <w:t>[NOMBRE DEL MÓDULO]</w:t>
      </w:r>
    </w:p>
    <w:p w14:paraId="528BD61C" w14:textId="77777777" w:rsidR="00590A33" w:rsidRDefault="00590A33">
      <w:pPr>
        <w:pStyle w:val="sub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Módulo de Liquidación de Haberes para Microsoft Dynamics 365 Business Central</w:t>
      </w:r>
      <w:r>
        <w:rPr>
          <w:rFonts w:ascii="Calibri" w:hAnsi="Calibri" w:cs="Calibri"/>
        </w:rPr>
        <w:br/>
        <w:t>Vertical para la industria pesquera</w:t>
      </w:r>
    </w:p>
    <w:p w14:paraId="59A1C8D0" w14:textId="77777777" w:rsidR="00590A33" w:rsidRDefault="00590A33">
      <w:pPr>
        <w:pStyle w:val="small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 xml:space="preserve">Propuesta comercial para </w:t>
      </w:r>
      <w:r>
        <w:rPr>
          <w:rFonts w:ascii="Calibri" w:hAnsi="Calibri" w:cs="Calibri"/>
          <w:b/>
          <w:bCs/>
        </w:rPr>
        <w:t>Grupo Arbumasa</w:t>
      </w:r>
      <w:r>
        <w:rPr>
          <w:rFonts w:ascii="Calibri" w:hAnsi="Calibri" w:cs="Calibri"/>
        </w:rPr>
        <w:br/>
        <w:t xml:space="preserve">Presentada por </w:t>
      </w:r>
      <w:r>
        <w:rPr>
          <w:rStyle w:val="fill1"/>
          <w:rFonts w:ascii="Calibri" w:hAnsi="Calibri" w:cs="Calibri"/>
        </w:rPr>
        <w:t>[PARTNER]</w:t>
      </w:r>
      <w:r>
        <w:rPr>
          <w:rFonts w:ascii="Calibri" w:hAnsi="Calibri" w:cs="Calibri"/>
        </w:rPr>
        <w:t xml:space="preserve">  |  Fecha: </w:t>
      </w:r>
      <w:r>
        <w:rPr>
          <w:rStyle w:val="fill1"/>
          <w:rFonts w:ascii="Calibri" w:hAnsi="Calibri" w:cs="Calibri"/>
        </w:rPr>
        <w:t>[COMPLETAR]</w:t>
      </w:r>
      <w:r>
        <w:rPr>
          <w:rFonts w:ascii="Calibri" w:hAnsi="Calibri" w:cs="Calibri"/>
        </w:rPr>
        <w:t xml:space="preserve">  |  Validez: </w:t>
      </w:r>
      <w:r>
        <w:rPr>
          <w:rStyle w:val="fill1"/>
          <w:rFonts w:ascii="Calibri" w:hAnsi="Calibri" w:cs="Calibri"/>
        </w:rPr>
        <w:t>[COMPLETAR]</w:t>
      </w:r>
    </w:p>
    <w:p w14:paraId="2EA1A8D5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</w:t>
      </w:r>
    </w:p>
    <w:p w14:paraId="0AD6C1FB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Se propone la incorporación de un módulo de liquidación de haberes que opera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dentro del Business Central que Grupo Arbumasa ya utiliza</w:t>
      </w:r>
      <w:r>
        <w:rPr>
          <w:rFonts w:ascii="Calibri" w:hAnsi="Calibri" w:cs="Calibri"/>
          <w:color w:val="1A1A1A"/>
          <w:sz w:val="22"/>
          <w:szCs w:val="22"/>
        </w:rPr>
        <w:t>, sin plataforma adicional, sin interfaces y sin costo por empleado.</w:t>
      </w:r>
    </w:p>
    <w:p w14:paraId="6BDC826A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El módulo es un producto con versionado y soporte, no un desarrollo a medida: se implementa mediante parametrización sobre una base funcional ya construida y probada. Su alcance está diseñado para la actividad pesquera —liquidación por marea, francos con valuación por lote, producción y coeficientes, convenios y categorías— que las plataformas generalistas de nómina no contemplan de forma nativa.</w:t>
      </w:r>
    </w:p>
    <w:p w14:paraId="0583FA3F" w14:textId="77777777" w:rsidR="00590A33" w:rsidRDefault="00590A33">
      <w:pPr>
        <w:shd w:val="clear" w:color="auto" w:fill="F2F5FA"/>
        <w:divId w:val="84266834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La diferencia estructural con una plataforma cloud no es el precio mensual, es el modelo.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Una suscripción es alquiler por empleado activo: crece con la dotación, se paga de forma indefinida y al interrumpirse se deja de liquidar. Una licencia sobre el ERP existente es un activo: se amortiza, no escala con la nómina y la operación no depende de la continuidad del pago. </w:t>
      </w:r>
    </w:p>
    <w:p w14:paraId="3323FF5B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El módulo</w:t>
      </w:r>
    </w:p>
    <w:p w14:paraId="07080FF1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Corre sobre el licenciamiento de Business Central que la empresa ya posee. No requiere servidores, bases de datos ni licencias de plataforma adicionales. Los empleados, proyectos (mareas), buques y la contabilidad son los mismos registros del ERP: no hay sincronización que mantener ni datos duplicados.</w:t>
      </w:r>
    </w:p>
    <w:p w14:paraId="5B5847C6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Motor de cálculo</w:t>
      </w:r>
    </w:p>
    <w:p w14:paraId="64C64BBF" w14:textId="77777777" w:rsidR="00590A33" w:rsidRDefault="00590A33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Motor de fórmulas configurable con funciones, condiciones, referencias entre conceptos y tablas escalonadas por tramos.</w:t>
      </w:r>
    </w:p>
    <w:p w14:paraId="2654CFE8" w14:textId="77777777" w:rsidR="00590A33" w:rsidRDefault="00590A33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Acumuladores con distribución porcentual configurable por concepto, con vigencia propia.</w:t>
      </w:r>
    </w:p>
    <w:p w14:paraId="1EB8B1E1" w14:textId="77777777" w:rsidR="00590A33" w:rsidRDefault="00590A33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Convergencia automática de </w:t>
      </w:r>
      <w:r>
        <w:rPr>
          <w:rFonts w:ascii="Calibri" w:eastAsia="Times New Roman" w:hAnsi="Calibri" w:cs="Calibri"/>
          <w:i/>
          <w:iCs/>
          <w:color w:val="1A1A1A"/>
          <w:sz w:val="22"/>
          <w:szCs w:val="22"/>
        </w:rPr>
        <w:t>grossing-up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para netos garantizados.</w:t>
      </w:r>
    </w:p>
    <w:p w14:paraId="2E8CB9DD" w14:textId="77777777" w:rsidR="00590A33" w:rsidRDefault="00590A33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Tipos de liquidación (mensual, cierre de marea, y los que se definan) con conceptos aplicables por tipo.</w:t>
      </w:r>
    </w:p>
    <w:p w14:paraId="67C324CE" w14:textId="77777777" w:rsidR="00590A33" w:rsidRDefault="00590A33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Convenios colectivos y categorías, con aplicabilidad de concepto por convenio y categoría.</w:t>
      </w:r>
    </w:p>
    <w:p w14:paraId="4467E4A7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Vertical pesquero</w:t>
      </w:r>
    </w:p>
    <w:p w14:paraId="60BBB122" w14:textId="77777777" w:rsidR="00590A33" w:rsidRDefault="00590A33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Liquidación asociada a marea, con producción y coeficientes por marea.</w:t>
      </w:r>
    </w:p>
    <w:p w14:paraId="1B8756B8" w14:textId="77777777" w:rsidR="00590A33" w:rsidRDefault="00590A33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Ledger de francos FIFO: cada franco conserva la categoría con la que se devengó y se paga valuado a esa categoría.</w:t>
      </w:r>
    </w:p>
    <w:p w14:paraId="3216A3DE" w14:textId="77777777" w:rsidR="00590A33" w:rsidRDefault="00590A33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Estados de empleado y de buque con historial fechado, contigüidad mantenida y transiciones automáticas.</w:t>
      </w:r>
    </w:p>
    <w:p w14:paraId="29993904" w14:textId="77777777" w:rsidR="00590A33" w:rsidRDefault="00590A33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Zona desfavorable resuelta por marea, con caída al valor del empleado.</w:t>
      </w:r>
    </w:p>
    <w:p w14:paraId="762D1F39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y control</w:t>
      </w:r>
    </w:p>
    <w:p w14:paraId="3C13C691" w14:textId="77777777" w:rsidR="00590A33" w:rsidRDefault="00590A33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Cada línea conserva la fórmula aplicada, la fórmula con los valores sustituidos y las variables que intervinieron.</w:t>
      </w:r>
    </w:p>
    <w:p w14:paraId="5DB58210" w14:textId="77777777" w:rsidR="00590A33" w:rsidRDefault="00590A33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Cada línea sella qué versión de concepto, qué vigencia de parámetro y qué vigencia de distribución se usaron: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un período anterior se recalcula exactamente como salió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4B9467" w14:textId="77777777" w:rsidR="00590A33" w:rsidRDefault="00590A33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Registro de procesos: cada cálculo, aprobación y reapertura queda registrado con sus errores y advertencias.</w:t>
      </w:r>
    </w:p>
    <w:p w14:paraId="4988FF2C" w14:textId="77777777" w:rsidR="00590A33" w:rsidRDefault="00590A33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Historial de cambios de fórmula: quién cambió qué, cuándo, de qué texto a qué texto, con restauración.</w:t>
      </w:r>
    </w:p>
    <w:p w14:paraId="27B206F7" w14:textId="77777777" w:rsidR="00590A33" w:rsidRDefault="00590A33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de orden de cálculo: detecta si un concepto lee un acumulador antes de que todos sus aportes hayan entrado, un error que de otro modo produce importes menores sin ningún aviso.</w:t>
      </w:r>
    </w:p>
    <w:p w14:paraId="73C1EC3F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Configuración sin programación</w:t>
      </w:r>
    </w:p>
    <w:p w14:paraId="719127C4" w14:textId="77777777" w:rsidR="00590A33" w:rsidRDefault="00590A33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Parámetros con vigencia y sufijos por empleado, convenio o categoría.</w:t>
      </w:r>
    </w:p>
    <w:p w14:paraId="68AF8635" w14:textId="77777777" w:rsidR="00590A33" w:rsidRDefault="00590A33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Fuentes de datos: cualquier dato de cualquier tabla del ERP entra a una fórmula sin desarrollo.</w:t>
      </w:r>
    </w:p>
    <w:p w14:paraId="30BC90C6" w14:textId="77777777" w:rsidR="00590A33" w:rsidRDefault="00590A33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Atributos tipados con historial, equivalentes a dimensiones, para incorporar datos nuevos como configuración.</w:t>
      </w:r>
    </w:p>
    <w:p w14:paraId="4D0AB686" w14:textId="77777777" w:rsidR="00590A33" w:rsidRDefault="00590A33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Novedades cargadas antes de que exista la liquidación, con recurrencia e importación desde Excel.</w:t>
      </w:r>
    </w:p>
    <w:p w14:paraId="2F090E2B" w14:textId="77777777" w:rsidR="00590A33" w:rsidRDefault="00590A33">
      <w:pPr>
        <w:numPr>
          <w:ilvl w:val="0"/>
          <w:numId w:val="4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Editor de fórmulas con autocompletado, validación en vivo y prueba contra un empleado real.</w:t>
      </w:r>
    </w:p>
    <w:p w14:paraId="09715926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Salidas y cumplimiento</w:t>
      </w:r>
    </w:p>
    <w:p w14:paraId="5C75ABE5" w14:textId="77777777" w:rsidR="00590A33" w:rsidRDefault="00590A33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Recibo de sueldo en el formato de ley.</w:t>
      </w:r>
    </w:p>
    <w:p w14:paraId="295046A9" w14:textId="77777777" w:rsidR="00590A33" w:rsidRDefault="00590A33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Importación SIRADIG y cálculo de deducciones de Ganancias 4.ª categoría.</w:t>
      </w:r>
    </w:p>
    <w:p w14:paraId="07B38C67" w14:textId="77777777" w:rsidR="00590A33" w:rsidRDefault="00590A33">
      <w:pPr>
        <w:numPr>
          <w:ilvl w:val="0"/>
          <w:numId w:val="5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Préstamos y cuotas con generación automática de incidencias.</w:t>
      </w:r>
    </w:p>
    <w:p w14:paraId="0E1DF814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Por qué dentro del ERP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2806"/>
        <w:gridCol w:w="2806"/>
      </w:tblGrid>
      <w:tr w:rsidR="00000000" w14:paraId="2452FC14" w14:textId="77777777">
        <w:tc>
          <w:tcPr>
            <w:tcW w:w="17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C2D4A2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 </w:t>
            </w:r>
          </w:p>
        </w:tc>
        <w:tc>
          <w:tcPr>
            <w:tcW w:w="16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641BA1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Módulo sobre Business Central</w:t>
            </w:r>
          </w:p>
        </w:tc>
        <w:tc>
          <w:tcPr>
            <w:tcW w:w="16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2849B9F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Plataforma de nómina externa</w:t>
            </w:r>
          </w:p>
        </w:tc>
      </w:tr>
      <w:tr w:rsidR="00000000" w14:paraId="4D909AD7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9D528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lastRenderedPageBreak/>
              <w:t>Datos de empleados, mareas y buques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73AE8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Los mismos registros del ERP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FC4931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Réplica a sincronizar</w:t>
            </w:r>
          </w:p>
        </w:tc>
      </w:tr>
      <w:tr w:rsidR="00000000" w14:paraId="185D48B2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91133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Asiento contable de la liquidación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9B923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Directo, sin interfaz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44B19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Interfaz a construir y mantener</w:t>
            </w:r>
          </w:p>
        </w:tc>
      </w:tr>
      <w:tr w:rsidR="00000000" w14:paraId="5C8AFA92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BA848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Costo laboral por marea y por buque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7BA4F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Sobre la estructura de proyectos existente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742A6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Requiere exportar y reprocesar</w:t>
            </w:r>
          </w:p>
        </w:tc>
      </w:tr>
      <w:tr w:rsidR="00000000" w14:paraId="0D50080E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BB8E60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Licencia de plataforma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51E2D2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 de BC, ya adquirida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778C59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Adicional, por empleado activo</w:t>
            </w:r>
          </w:p>
        </w:tc>
      </w:tr>
      <w:tr w:rsidR="00000000" w14:paraId="0285AD54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51ACC5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Usuarios y permisos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5DD770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Los de BC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1E9D50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Administración separada</w:t>
            </w:r>
          </w:p>
        </w:tc>
      </w:tr>
    </w:tbl>
    <w:p w14:paraId="5D5729E2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Alcance comparado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2"/>
        <w:gridCol w:w="2466"/>
        <w:gridCol w:w="2466"/>
      </w:tblGrid>
      <w:tr w:rsidR="00000000" w14:paraId="328A7473" w14:textId="77777777">
        <w:tc>
          <w:tcPr>
            <w:tcW w:w="21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3EEB00C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14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E4B140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Este módulo</w:t>
            </w:r>
          </w:p>
        </w:tc>
        <w:tc>
          <w:tcPr>
            <w:tcW w:w="14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E70A58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Plataforma cloud generalista</w:t>
            </w:r>
          </w:p>
        </w:tc>
      </w:tr>
      <w:tr w:rsidR="00000000" w14:paraId="6EF11AFC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A21BCD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Liquidación por marea, producción y coeficientes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11278A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Nativo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26CF71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Desarrollo adicional</w:t>
            </w:r>
          </w:p>
        </w:tc>
      </w:tr>
      <w:tr w:rsidR="00000000" w14:paraId="23EE3BDE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A515D5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Francos FIFO valuados por categoría de lote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434F98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Nativo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512B12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Desarrollo adicional</w:t>
            </w:r>
          </w:p>
        </w:tc>
      </w:tr>
      <w:tr w:rsidR="00000000" w14:paraId="24970365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7B7477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Reproducibilidad de un cálculo histórico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2FB14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Sellado por línea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B0C589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Según producto</w:t>
            </w:r>
          </w:p>
        </w:tc>
      </w:tr>
      <w:tr w:rsidR="00000000" w14:paraId="4CB5E6EA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69FF7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Costo por empleado activo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79BCB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aplica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4A6FF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Mensual, escala con la dotación</w:t>
            </w:r>
          </w:p>
        </w:tc>
      </w:tr>
      <w:tr w:rsidR="00000000" w14:paraId="264777EA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6881D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Modelo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49DEFC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Licencia sobre ERP propio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FC4748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Suscripción, contrato a 36 meses</w:t>
            </w:r>
          </w:p>
        </w:tc>
      </w:tr>
      <w:tr w:rsidR="00000000" w14:paraId="7A72A2CA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D00EEC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Actualizaciones normativas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D92F1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Incluidas en el soporte anual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EFE6B5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Incluidas</w:t>
            </w:r>
          </w:p>
        </w:tc>
      </w:tr>
      <w:tr w:rsidR="00000000" w14:paraId="7FBAF6A0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DC14F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Mesa de ayuda e infraestructura certificada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1C619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Según acuerdo de soporte e infraestructura del cliente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D93B0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Incluidas</w:t>
            </w:r>
          </w:p>
        </w:tc>
      </w:tr>
      <w:tr w:rsidR="00000000" w14:paraId="01ADB792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944BF7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Firma digital, onboarding, legajo digital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3315AD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Fuera de alcance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D36A9D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Incluidos</w:t>
            </w:r>
          </w:p>
        </w:tc>
      </w:tr>
    </w:tbl>
    <w:p w14:paraId="006807CD" w14:textId="77777777" w:rsidR="00590A33" w:rsidRDefault="00590A33">
      <w:pPr>
        <w:shd w:val="clear" w:color="auto" w:fill="FBF0F0"/>
        <w:divId w:val="937713928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Alcance no cubierto.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Este módulo resuelve la liquidación de haberes. No incluye gestión documental, firma digital, onboarding ni legajo digital. Si esas funciones son un requisito, corresponde evaluarlas por separado — pueden incorporarse por etapas o cubrirse con una herramienta específica, sin afectar la liquidación. </w:t>
      </w:r>
    </w:p>
    <w:p w14:paraId="31FFF9F3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Propuesta económica</w:t>
      </w:r>
    </w:p>
    <w:p w14:paraId="4424ABC6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Licencia del módulo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2"/>
        <w:gridCol w:w="2041"/>
        <w:gridCol w:w="2041"/>
      </w:tblGrid>
      <w:tr w:rsidR="00000000" w14:paraId="0B645EC5" w14:textId="77777777">
        <w:tc>
          <w:tcPr>
            <w:tcW w:w="26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DDEA5F8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12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191E92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Modalidad</w:t>
            </w:r>
          </w:p>
        </w:tc>
        <w:tc>
          <w:tcPr>
            <w:tcW w:w="12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5AAFAC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Importe</w:t>
            </w:r>
          </w:p>
        </w:tc>
      </w:tr>
      <w:tr w:rsidR="00000000" w14:paraId="192822DB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946C4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Licencia de uso del módulo, sin límite de empleados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0BC3C6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Perpetua, pago único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628228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</w:tbl>
    <w:p w14:paraId="33CDFBCF" w14:textId="77777777" w:rsidR="00590A33" w:rsidRDefault="00590A33">
      <w:pPr>
        <w:pStyle w:val="small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La licencia no tiene costo por empleado activo: la dotación puede crecer sin impacto en el precio.</w:t>
      </w:r>
    </w:p>
    <w:p w14:paraId="0041FC49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Implementación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3"/>
        <w:gridCol w:w="2041"/>
      </w:tblGrid>
      <w:tr w:rsidR="00000000" w14:paraId="6F072020" w14:textId="77777777">
        <w:tc>
          <w:tcPr>
            <w:tcW w:w="38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7825F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12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54ECA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Importe</w:t>
            </w:r>
          </w:p>
        </w:tc>
      </w:tr>
      <w:tr w:rsidR="00000000" w14:paraId="27EC895D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684F9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Parametrización de convenios, categorías, conceptos y acumuladores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C1C697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  <w:tr w:rsidR="00000000" w14:paraId="1044EF7C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5E8DF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Migración de datos e histórico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7882F7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  <w:tr w:rsidR="00000000" w14:paraId="02CB24FA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A432E7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Liquidación en paralelo y ajuste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418D01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  <w:tr w:rsidR="00000000" w14:paraId="443579DF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56347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Capacitación a usuarios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282C39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  <w:tr w:rsidR="00000000" w14:paraId="4B11CCC3" w14:textId="77777777"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9140E5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Total implementación — pago único</w:t>
            </w:r>
          </w:p>
        </w:tc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7365B6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[COMPLETAR]</w:t>
            </w:r>
          </w:p>
        </w:tc>
      </w:tr>
    </w:tbl>
    <w:p w14:paraId="04E91FEC" w14:textId="77777777" w:rsidR="00590A33" w:rsidRDefault="00590A33">
      <w:pPr>
        <w:pStyle w:val="small"/>
        <w:spacing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 xml:space="preserve">Forma de pago sugerida: </w:t>
      </w:r>
      <w:r>
        <w:rPr>
          <w:rStyle w:val="fill1"/>
          <w:rFonts w:ascii="Calibri" w:hAnsi="Calibri" w:cs="Calibri"/>
        </w:rPr>
        <w:t>[COMPLETAR]</w:t>
      </w:r>
    </w:p>
    <w:p w14:paraId="7E7A545B" w14:textId="77777777" w:rsidR="00590A33" w:rsidRDefault="00590A33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Soporte, mantenimiento y actualizaciones</w:t>
      </w:r>
    </w:p>
    <w:p w14:paraId="36032D08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Servicio anual, renovable:</w:t>
      </w:r>
    </w:p>
    <w:p w14:paraId="32E35D0E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Actualización de escalas, topes y mínimos de Ganancias, y de todo cambio normativo que afecte el cálculo.</w:t>
      </w:r>
    </w:p>
    <w:p w14:paraId="5775B10F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Actualización de parámetros por acuerdos paritarios de los convenios aplicables.</w:t>
      </w:r>
    </w:p>
    <w:p w14:paraId="59167785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Nuevas versiones del módulo sin cargo.</w:t>
      </w:r>
    </w:p>
    <w:p w14:paraId="4DF418CF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Corrección de defectos sin cargo.</w:t>
      </w:r>
    </w:p>
    <w:p w14:paraId="2868A1D4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Compatibilidad garantizada con las actualizaciones de Business Central.</w:t>
      </w:r>
    </w:p>
    <w:p w14:paraId="511519AE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Soporte a usuarios con tiempo de respuesta comprometido.</w:t>
      </w:r>
    </w:p>
    <w:p w14:paraId="318715FB" w14:textId="77777777" w:rsidR="00590A33" w:rsidRDefault="00590A33">
      <w:pPr>
        <w:numPr>
          <w:ilvl w:val="0"/>
          <w:numId w:val="6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Bolsa de </w:t>
      </w:r>
      <w:r>
        <w:rPr>
          <w:rStyle w:val="fill1"/>
          <w:rFonts w:ascii="Calibri" w:eastAsia="Times New Roman" w:hAnsi="Calibri" w:cs="Calibri"/>
          <w:sz w:val="22"/>
          <w:szCs w:val="22"/>
        </w:rPr>
        <w:t>[N]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horas anuales para ajustes y conceptos nuevos.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3"/>
        <w:gridCol w:w="2041"/>
      </w:tblGrid>
      <w:tr w:rsidR="00000000" w14:paraId="016CC3CB" w14:textId="77777777">
        <w:tc>
          <w:tcPr>
            <w:tcW w:w="38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631BFF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12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335C8FF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Importe anual</w:t>
            </w:r>
          </w:p>
        </w:tc>
      </w:tr>
      <w:tr w:rsidR="00000000" w14:paraId="03FD8012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9FFE77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Soporte, mantenimiento y actualizaciones normativas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F1EC27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  <w:tr w:rsidR="00000000" w14:paraId="468F7281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26D53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Hora adicional fuera de bolsa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CF1617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[COMPLETAR]</w:t>
            </w:r>
          </w:p>
        </w:tc>
      </w:tr>
    </w:tbl>
    <w:p w14:paraId="0828AC56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Costo total de propiedad</w:t>
      </w:r>
    </w:p>
    <w:p w14:paraId="1B68212F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Comparación sobre una base de 300 empleados activos, en dólares, sin impuestos.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1446"/>
        <w:gridCol w:w="1446"/>
        <w:gridCol w:w="1531"/>
        <w:gridCol w:w="1531"/>
      </w:tblGrid>
      <w:tr w:rsidR="00000000" w14:paraId="0C6F3A07" w14:textId="77777777">
        <w:tc>
          <w:tcPr>
            <w:tcW w:w="15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4CDB58F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 </w:t>
            </w:r>
          </w:p>
        </w:tc>
        <w:tc>
          <w:tcPr>
            <w:tcW w:w="8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BAEC3D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Año 1</w:t>
            </w:r>
          </w:p>
        </w:tc>
        <w:tc>
          <w:tcPr>
            <w:tcW w:w="85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05D05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Años 2-3</w:t>
            </w:r>
          </w:p>
        </w:tc>
        <w:tc>
          <w:tcPr>
            <w:tcW w:w="9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215FD22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3 años</w:t>
            </w:r>
          </w:p>
        </w:tc>
        <w:tc>
          <w:tcPr>
            <w:tcW w:w="9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9CDA4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5 años</w:t>
            </w:r>
          </w:p>
        </w:tc>
      </w:tr>
      <w:tr w:rsidR="00000000" w14:paraId="2B362C5A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11DCA9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Plataforma cloud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br/>
            </w:r>
            <w:r>
              <w:rPr>
                <w:rStyle w:val="small1"/>
                <w:rFonts w:ascii="Calibri" w:eastAsia="Times New Roman" w:hAnsi="Calibri" w:cs="Calibri"/>
              </w:rPr>
              <w:t>Implementación 24.000 + renta 1.200/mes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B0920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38.400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A9E046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14.400 /año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0DBA7E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67.200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B83E2E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96.000</w:t>
            </w:r>
          </w:p>
        </w:tc>
      </w:tr>
      <w:tr w:rsidR="00000000" w14:paraId="29E4D834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5030AA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Módulo sobre BC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br/>
            </w:r>
            <w:r>
              <w:rPr>
                <w:rStyle w:val="small1"/>
                <w:rFonts w:ascii="Calibri" w:eastAsia="Times New Roman" w:hAnsi="Calibri" w:cs="Calibri"/>
              </w:rPr>
              <w:t>Licencia + implementación + soporte anual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67DDE6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 ]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B888DD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 ]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67449F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 ]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C08CC2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[ ]</w:t>
            </w:r>
          </w:p>
        </w:tc>
      </w:tr>
      <w:tr w:rsidR="00000000" w14:paraId="313088E7" w14:textId="77777777"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4701A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Diferencia acumulada</w:t>
            </w:r>
          </w:p>
        </w:tc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18524A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19D82C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86CA0E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[ ]</w:t>
            </w:r>
          </w:p>
        </w:tc>
        <w:tc>
          <w:tcPr>
            <w:tcW w:w="0" w:type="auto"/>
            <w:tcBorders>
              <w:top w:val="single" w:sz="8" w:space="0" w:color="1F3864"/>
              <w:bottom w:val="single" w:sz="4" w:space="0" w:color="BFBFBF"/>
            </w:tcBorders>
            <w:shd w:val="clear" w:color="auto" w:fill="DEEAF6"/>
            <w:noWrap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024C28" w14:textId="77777777" w:rsidR="00590A33" w:rsidRDefault="00590A33">
            <w:pPr>
              <w:spacing w:before="160" w:after="240"/>
              <w:jc w:val="right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[ ]</w:t>
            </w:r>
          </w:p>
        </w:tc>
      </w:tr>
    </w:tbl>
    <w:p w14:paraId="2E00CEC0" w14:textId="77777777" w:rsidR="00590A33" w:rsidRDefault="00590A33">
      <w:pPr>
        <w:shd w:val="clear" w:color="auto" w:fill="F2F5FA"/>
        <w:divId w:val="171666418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Tres factores que no figuran en el precio de lista.</w:t>
      </w:r>
      <w:r>
        <w:rPr>
          <w:rFonts w:ascii="Calibri" w:eastAsia="Times New Roman" w:hAnsi="Calibri" w:cs="Calibri"/>
          <w:color w:val="1A1A1A"/>
          <w:sz w:val="22"/>
          <w:szCs w:val="22"/>
        </w:rPr>
        <w:br/>
        <w:t xml:space="preserve">• La renta cloud es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por empleado activo</w:t>
      </w:r>
      <w:r>
        <w:rPr>
          <w:rFonts w:ascii="Calibri" w:eastAsia="Times New Roman" w:hAnsi="Calibri" w:cs="Calibri"/>
          <w:color w:val="1A1A1A"/>
          <w:sz w:val="22"/>
          <w:szCs w:val="22"/>
        </w:rPr>
        <w:t>: incorporar dotación aumenta el costo mensual de forma permanente.</w:t>
      </w:r>
      <w:r>
        <w:rPr>
          <w:rFonts w:ascii="Calibri" w:eastAsia="Times New Roman" w:hAnsi="Calibri" w:cs="Calibri"/>
          <w:color w:val="1A1A1A"/>
          <w:sz w:val="22"/>
          <w:szCs w:val="22"/>
        </w:rPr>
        <w:br/>
        <w:t xml:space="preserve">• El contrato cloud es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 36 meses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y el pago es por uso: si se interrumpe, se deja de liquidar.</w:t>
      </w:r>
      <w:r>
        <w:rPr>
          <w:rFonts w:ascii="Calibri" w:eastAsia="Times New Roman" w:hAnsi="Calibri" w:cs="Calibri"/>
          <w:color w:val="1A1A1A"/>
          <w:sz w:val="22"/>
          <w:szCs w:val="22"/>
        </w:rPr>
        <w:br/>
        <w:t xml:space="preserve">• A partir del año 4 la plataforma cloud sostiene USD 14.400 anuales de forma indefinida; el módulo solo devenga el soporte, que es renovable a decisión del cliente y no condiciona la operación. </w:t>
      </w:r>
    </w:p>
    <w:p w14:paraId="70086481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Continuidad y respaldo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5613"/>
      </w:tblGrid>
      <w:tr w:rsidR="00000000" w14:paraId="31B8D110" w14:textId="77777777">
        <w:tc>
          <w:tcPr>
            <w:tcW w:w="17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D04910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 </w:t>
            </w:r>
          </w:p>
        </w:tc>
        <w:tc>
          <w:tcPr>
            <w:tcW w:w="3300" w:type="pct"/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33C0C8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 </w:t>
            </w:r>
          </w:p>
        </w:tc>
      </w:tr>
      <w:tr w:rsidR="00000000" w14:paraId="59DD37CF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3913A1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Producto versionado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B2D68A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El módulo se entrega con número de versión y notas de cada actualización. No es un desarrollo puntual: evoluciona como producto.</w:t>
            </w:r>
          </w:p>
        </w:tc>
      </w:tr>
      <w:tr w:rsidR="00000000" w14:paraId="5F0DEB24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B2EB93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Actualizaciones normativas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04250A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Comprometidas por contrato de soporte, con plazo de aplicación acordado.</w:t>
            </w:r>
          </w:p>
        </w:tc>
      </w:tr>
      <w:tr w:rsidR="00000000" w14:paraId="2354505F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029D3E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Compatibilidad con BC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573334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El módulo se valida contra cada actualización de Business Central dentro del soporte.</w:t>
            </w:r>
          </w:p>
        </w:tc>
      </w:tr>
      <w:tr w:rsidR="00000000" w14:paraId="64E2618E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9C175D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Continuidad ante cambio de proveedor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39363C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ill1"/>
                <w:rFonts w:ascii="Calibri" w:eastAsia="Times New Roman" w:hAnsi="Calibri" w:cs="Calibri"/>
                <w:sz w:val="20"/>
                <w:szCs w:val="20"/>
              </w:rPr>
              <w:t>[Definir: entrega de código fuente / cláusula de custodia (escrow) / documentación técnica entregable]</w:t>
            </w:r>
          </w:p>
        </w:tc>
      </w:tr>
      <w:tr w:rsidR="00000000" w14:paraId="5FF5E971" w14:textId="77777777"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C5628B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Infraestructura y resguardo</w:t>
            </w:r>
          </w:p>
        </w:tc>
        <w:tc>
          <w:tcPr>
            <w:tcW w:w="0" w:type="auto"/>
            <w:tcBorders>
              <w:bottom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626628" w14:textId="77777777" w:rsidR="00590A33" w:rsidRDefault="00590A33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Los del Business Central del cliente, sin componentes adicionales que administrar.</w:t>
            </w:r>
          </w:p>
        </w:tc>
      </w:tr>
    </w:tbl>
    <w:p w14:paraId="780976E1" w14:textId="77777777" w:rsidR="00590A33" w:rsidRDefault="00590A3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Próximos pasos</w:t>
      </w:r>
    </w:p>
    <w:p w14:paraId="1E2285FC" w14:textId="77777777" w:rsidR="00590A33" w:rsidRDefault="00590A33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Validación del alcance funcional del punto 2 con el área de Recursos Humanos.</w:t>
      </w:r>
    </w:p>
    <w:p w14:paraId="2D7ACBEC" w14:textId="77777777" w:rsidR="00590A33" w:rsidRDefault="00590A33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Liquidación en paralelo de un período completo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 el sistema actual, previa a cualquier compromiso.</w:t>
      </w:r>
    </w:p>
    <w:p w14:paraId="5AEDD920" w14:textId="77777777" w:rsidR="00590A33" w:rsidRDefault="00590A33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Definición del alcance y nivel de servicio del contrato de soporte.</w:t>
      </w:r>
    </w:p>
    <w:p w14:paraId="71AF89E6" w14:textId="77777777" w:rsidR="00590A33" w:rsidRDefault="00590A33">
      <w:pPr>
        <w:numPr>
          <w:ilvl w:val="0"/>
          <w:numId w:val="7"/>
        </w:numPr>
        <w:spacing w:before="100" w:beforeAutospacing="1" w:after="6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Firma y cronograma de puesta en producción.</w:t>
      </w:r>
    </w:p>
    <w:p w14:paraId="764A1E42" w14:textId="77777777" w:rsidR="00590A33" w:rsidRDefault="00590A3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El punto 2 es la verificación más directa: el módulo puede procesar un período real y contrastarse recibo por recibo antes de tomar la decisión.</w:t>
      </w:r>
    </w:p>
    <w:p w14:paraId="1477C4C9" w14:textId="77777777" w:rsidR="00590A33" w:rsidRDefault="00590A33">
      <w:pPr>
        <w:pStyle w:val="small"/>
        <w:pBdr>
          <w:top w:val="single" w:sz="4" w:space="6" w:color="BFBFBF"/>
        </w:pBdr>
        <w:spacing w:before="480" w:beforeAutospacing="0" w:after="100" w:afterAutospacing="1"/>
        <w:rPr>
          <w:rFonts w:ascii="Calibri" w:hAnsi="Calibri" w:cs="Calibri"/>
        </w:rPr>
      </w:pPr>
      <w:r>
        <w:rPr>
          <w:rFonts w:ascii="Calibri" w:hAnsi="Calibri" w:cs="Calibri"/>
        </w:rPr>
        <w:t>Los importes de la alternativa cloud citados a efectos comparativos provienen de la propuesta recibida por Grupo Arbumasa con fecha 10/08/2026 y están sujetos a sus propias condiciones de validez y confidencialidad. Este documento es de uso interno de Grupo Arbumasa.</w:t>
      </w:r>
    </w:p>
    <w:sectPr w:rsidR="00590A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7681"/>
    <w:multiLevelType w:val="multilevel"/>
    <w:tmpl w:val="E800C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70D9F"/>
    <w:multiLevelType w:val="multilevel"/>
    <w:tmpl w:val="9E3E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AF010D"/>
    <w:multiLevelType w:val="multilevel"/>
    <w:tmpl w:val="1CE4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B37542"/>
    <w:multiLevelType w:val="multilevel"/>
    <w:tmpl w:val="86FE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B267AF"/>
    <w:multiLevelType w:val="multilevel"/>
    <w:tmpl w:val="A95C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1612DB"/>
    <w:multiLevelType w:val="multilevel"/>
    <w:tmpl w:val="3BB8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A80B5B"/>
    <w:multiLevelType w:val="multilevel"/>
    <w:tmpl w:val="C00E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2539946">
    <w:abstractNumId w:val="4"/>
  </w:num>
  <w:num w:numId="2" w16cid:durableId="714888693">
    <w:abstractNumId w:val="3"/>
  </w:num>
  <w:num w:numId="3" w16cid:durableId="882015600">
    <w:abstractNumId w:val="5"/>
  </w:num>
  <w:num w:numId="4" w16cid:durableId="2026900617">
    <w:abstractNumId w:val="1"/>
  </w:num>
  <w:num w:numId="5" w16cid:durableId="2082481697">
    <w:abstractNumId w:val="2"/>
  </w:num>
  <w:num w:numId="6" w16cid:durableId="1575551578">
    <w:abstractNumId w:val="6"/>
  </w:num>
  <w:num w:numId="7" w16cid:durableId="1857188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F80"/>
    <w:rsid w:val="00151F80"/>
    <w:rsid w:val="00590A33"/>
    <w:rsid w:val="0088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B489DE3"/>
  <w15:chartTrackingRefBased/>
  <w15:docId w15:val="{5B0749EF-DEF8-4AA1-892C-DE0165F2A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40"/>
      <w:outlineLvl w:val="0"/>
    </w:pPr>
    <w:rPr>
      <w:b/>
      <w:bCs/>
      <w:color w:val="1F3864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3" w:color="1F3864"/>
      </w:pBdr>
      <w:spacing w:before="440" w:after="100" w:afterAutospacing="1"/>
      <w:outlineLvl w:val="1"/>
    </w:pPr>
    <w:rPr>
      <w:b/>
      <w:bCs/>
      <w:color w:val="1F3864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80" w:after="80"/>
      <w:outlineLvl w:val="2"/>
    </w:pPr>
    <w:rPr>
      <w:b/>
      <w:bCs/>
      <w:color w:val="2E5496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">
    <w:name w:val="sub"/>
    <w:basedOn w:val="Normal"/>
    <w:pPr>
      <w:spacing w:after="60"/>
    </w:pPr>
    <w:rPr>
      <w:color w:val="595959"/>
      <w:sz w:val="21"/>
      <w:szCs w:val="21"/>
    </w:rPr>
  </w:style>
  <w:style w:type="paragraph" w:customStyle="1" w:styleId="box">
    <w:name w:val="box"/>
    <w:basedOn w:val="Normal"/>
    <w:pPr>
      <w:pBdr>
        <w:left w:val="single" w:sz="24" w:space="12" w:color="1F3864"/>
      </w:pBdr>
      <w:shd w:val="clear" w:color="auto" w:fill="F2F5FA"/>
      <w:spacing w:before="200" w:after="200"/>
    </w:pPr>
  </w:style>
  <w:style w:type="paragraph" w:customStyle="1" w:styleId="warn">
    <w:name w:val="warn"/>
    <w:basedOn w:val="Normal"/>
    <w:pPr>
      <w:pBdr>
        <w:left w:val="single" w:sz="24" w:space="12" w:color="C00000"/>
      </w:pBdr>
      <w:shd w:val="clear" w:color="auto" w:fill="FBF0F0"/>
      <w:spacing w:before="200" w:after="200"/>
    </w:pPr>
  </w:style>
  <w:style w:type="paragraph" w:customStyle="1" w:styleId="fill">
    <w:name w:val="fill"/>
    <w:basedOn w:val="Normal"/>
    <w:pPr>
      <w:spacing w:before="100" w:beforeAutospacing="1" w:after="60"/>
    </w:pPr>
    <w:rPr>
      <w:b/>
      <w:bCs/>
      <w:color w:val="C00000"/>
    </w:rPr>
  </w:style>
  <w:style w:type="paragraph" w:customStyle="1" w:styleId="small">
    <w:name w:val="small"/>
    <w:basedOn w:val="Normal"/>
    <w:pPr>
      <w:spacing w:before="100" w:beforeAutospacing="1" w:after="60"/>
    </w:pPr>
    <w:rPr>
      <w:color w:val="595959"/>
      <w:sz w:val="18"/>
      <w:szCs w:val="18"/>
    </w:rPr>
  </w:style>
  <w:style w:type="character" w:customStyle="1" w:styleId="fill1">
    <w:name w:val="fill1"/>
    <w:basedOn w:val="Fuentedeprrafopredeter"/>
    <w:rPr>
      <w:b/>
      <w:bCs/>
      <w:color w:val="C0000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small1">
    <w:name w:val="small1"/>
    <w:basedOn w:val="Fuentedeprrafopredeter"/>
    <w:rPr>
      <w:color w:val="595959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668345">
      <w:marLeft w:val="0"/>
      <w:marRight w:val="0"/>
      <w:marTop w:val="200"/>
      <w:marBottom w:val="200"/>
      <w:divBdr>
        <w:top w:val="none" w:sz="0" w:space="0" w:color="auto"/>
        <w:left w:val="single" w:sz="24" w:space="12" w:color="1F3864"/>
        <w:bottom w:val="none" w:sz="0" w:space="0" w:color="auto"/>
        <w:right w:val="none" w:sz="0" w:space="0" w:color="auto"/>
      </w:divBdr>
    </w:div>
    <w:div w:id="937713928">
      <w:marLeft w:val="0"/>
      <w:marRight w:val="0"/>
      <w:marTop w:val="200"/>
      <w:marBottom w:val="200"/>
      <w:divBdr>
        <w:top w:val="none" w:sz="0" w:space="0" w:color="auto"/>
        <w:left w:val="single" w:sz="24" w:space="12" w:color="C00000"/>
        <w:bottom w:val="none" w:sz="0" w:space="0" w:color="auto"/>
        <w:right w:val="none" w:sz="0" w:space="0" w:color="auto"/>
      </w:divBdr>
    </w:div>
    <w:div w:id="1716664185">
      <w:marLeft w:val="0"/>
      <w:marRight w:val="0"/>
      <w:marTop w:val="200"/>
      <w:marBottom w:val="200"/>
      <w:divBdr>
        <w:top w:val="none" w:sz="0" w:space="0" w:color="auto"/>
        <w:left w:val="single" w:sz="24" w:space="12" w:color="1F3864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1343</Words>
  <Characters>7389</Characters>
  <Application>Microsoft Office Word</Application>
  <DocSecurity>0</DocSecurity>
  <Lines>61</Lines>
  <Paragraphs>17</Paragraphs>
  <ScaleCrop>false</ScaleCrop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Modulo de Liquidacion de Haberes para Business Central</dc:title>
  <dc:subject/>
  <dc:creator>Ulises Sasovsky</dc:creator>
  <cp:keywords/>
  <dc:description/>
  <cp:lastModifiedBy>Ulises Sasovsky</cp:lastModifiedBy>
  <cp:revision>2</cp:revision>
  <dcterms:created xsi:type="dcterms:W3CDTF">2026-08-12T16:57:00Z</dcterms:created>
  <dcterms:modified xsi:type="dcterms:W3CDTF">2026-08-12T16:57:00Z</dcterms:modified>
</cp:coreProperties>
</file>