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812F5" w14:textId="77777777" w:rsidR="005664FB" w:rsidRDefault="005664FB">
      <w:pPr>
        <w:pStyle w:val="Ttulo1"/>
        <w:rPr>
          <w:rFonts w:ascii="Calibri" w:eastAsia="Times New Roman" w:hAnsi="Calibri" w:cs="Calibri"/>
        </w:rPr>
      </w:pPr>
      <w:proofErr w:type="spellStart"/>
      <w:r>
        <w:rPr>
          <w:rStyle w:val="fill1"/>
          <w:rFonts w:ascii="Calibri" w:eastAsia="Times New Roman" w:hAnsi="Calibri" w:cs="Calibri"/>
          <w:b/>
          <w:bCs/>
        </w:rPr>
        <w:t>Payroll</w:t>
      </w:r>
      <w:proofErr w:type="spellEnd"/>
      <w:r>
        <w:rPr>
          <w:rStyle w:val="fill1"/>
          <w:rFonts w:ascii="Calibri" w:eastAsia="Times New Roman" w:hAnsi="Calibri" w:cs="Calibri"/>
          <w:b/>
          <w:bCs/>
        </w:rPr>
        <w:t xml:space="preserve"> BC365</w:t>
      </w:r>
    </w:p>
    <w:p w14:paraId="1CEC4D92" w14:textId="77777777" w:rsidR="005664FB" w:rsidRDefault="005664FB">
      <w:pPr>
        <w:pStyle w:val="sub"/>
        <w:spacing w:after="100" w:afterAutospacing="1"/>
        <w:rPr>
          <w:rFonts w:ascii="Calibri" w:hAnsi="Calibri" w:cs="Calibri"/>
        </w:rPr>
      </w:pPr>
      <w:r>
        <w:rPr>
          <w:rFonts w:ascii="Calibri" w:hAnsi="Calibri" w:cs="Calibri"/>
        </w:rPr>
        <w:t>Módulo de Liquidación de Haberes para Microsoft Dynamics 365 Business Central</w:t>
      </w:r>
      <w:r>
        <w:rPr>
          <w:rFonts w:ascii="Calibri" w:hAnsi="Calibri" w:cs="Calibri"/>
        </w:rPr>
        <w:br/>
        <w:t>Vertical para la industria pesquera</w:t>
      </w:r>
    </w:p>
    <w:p w14:paraId="3068AA97" w14:textId="47A7C85C" w:rsidR="005664FB" w:rsidRDefault="005664FB">
      <w:pPr>
        <w:pStyle w:val="small"/>
        <w:spacing w:after="100" w:afterAutospacing="1"/>
        <w:rPr>
          <w:rFonts w:ascii="Calibri" w:hAnsi="Calibri" w:cs="Calibri"/>
        </w:rPr>
      </w:pPr>
      <w:r>
        <w:rPr>
          <w:rFonts w:ascii="Calibri" w:hAnsi="Calibri" w:cs="Calibri"/>
        </w:rPr>
        <w:t xml:space="preserve">Propuesta comercial para </w:t>
      </w:r>
      <w:r>
        <w:rPr>
          <w:rFonts w:ascii="Calibri" w:hAnsi="Calibri" w:cs="Calibri"/>
          <w:b/>
          <w:bCs/>
        </w:rPr>
        <w:t>Arbumasa</w:t>
      </w:r>
      <w:r>
        <w:rPr>
          <w:rFonts w:ascii="Calibri" w:hAnsi="Calibri" w:cs="Calibri"/>
        </w:rPr>
        <w:br/>
        <w:t xml:space="preserve">Fecha: </w:t>
      </w:r>
      <w:r w:rsidR="007329C4">
        <w:rPr>
          <w:rStyle w:val="fill1"/>
          <w:rFonts w:ascii="Calibri" w:hAnsi="Calibri" w:cs="Calibri"/>
        </w:rPr>
        <w:t>18/08/2026</w:t>
      </w:r>
    </w:p>
    <w:p w14:paraId="3A652072" w14:textId="77777777" w:rsidR="005664FB" w:rsidRDefault="005664FB">
      <w:pPr>
        <w:pStyle w:val="Ttulo2"/>
        <w:rPr>
          <w:rFonts w:ascii="Calibri" w:eastAsia="Times New Roman" w:hAnsi="Calibri" w:cs="Calibri"/>
        </w:rPr>
      </w:pPr>
      <w:r>
        <w:rPr>
          <w:rFonts w:ascii="Calibri" w:eastAsia="Times New Roman" w:hAnsi="Calibri" w:cs="Calibri"/>
        </w:rPr>
        <w:t>1. Resumen ejecutivo</w:t>
      </w:r>
    </w:p>
    <w:p w14:paraId="549A9B17"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t xml:space="preserve">Se propone la incorporación de un módulo de liquidación de haberes que opera </w:t>
      </w:r>
      <w:r>
        <w:rPr>
          <w:rFonts w:ascii="Calibri" w:hAnsi="Calibri" w:cs="Calibri"/>
          <w:b/>
          <w:bCs/>
          <w:color w:val="1A1A1A"/>
          <w:sz w:val="22"/>
          <w:szCs w:val="22"/>
        </w:rPr>
        <w:t>dentro del Business Central que Arbumasa está implementando</w:t>
      </w:r>
      <w:r>
        <w:rPr>
          <w:rFonts w:ascii="Calibri" w:hAnsi="Calibri" w:cs="Calibri"/>
          <w:color w:val="1A1A1A"/>
          <w:sz w:val="22"/>
          <w:szCs w:val="22"/>
        </w:rPr>
        <w:t>, sin plataforma adicional, sin interfaces y sin costo por empleado.</w:t>
      </w:r>
    </w:p>
    <w:p w14:paraId="4A3CADDA"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t xml:space="preserve">El módulo combina dos cosas que habitualmente hay que elegir por separado: </w:t>
      </w:r>
      <w:r>
        <w:rPr>
          <w:rFonts w:ascii="Calibri" w:hAnsi="Calibri" w:cs="Calibri"/>
          <w:b/>
          <w:bCs/>
          <w:color w:val="1A1A1A"/>
          <w:sz w:val="22"/>
          <w:szCs w:val="22"/>
        </w:rPr>
        <w:t>la solidez de un producto —base ya construida y probada, versionada, con soporte y actualizaciones— y el ajuste de un trabajo a medida</w:t>
      </w:r>
      <w:r>
        <w:rPr>
          <w:rFonts w:ascii="Calibri" w:hAnsi="Calibri" w:cs="Calibri"/>
          <w:color w:val="1A1A1A"/>
          <w:sz w:val="22"/>
          <w:szCs w:val="22"/>
        </w:rPr>
        <w:t>, porque el abono incluye horas de adaptación destinadas a que el sistema se acomode a la operación de Arbumasa y no al revés.</w:t>
      </w:r>
    </w:p>
    <w:p w14:paraId="14E65EA3"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t xml:space="preserve">Su alcance está diseñado para la actividad pesquera —liquidación por marea, francos con valuación por lote, producción y coeficientes, convenios y categorías, </w:t>
      </w:r>
      <w:proofErr w:type="spellStart"/>
      <w:r>
        <w:rPr>
          <w:rFonts w:ascii="Calibri" w:hAnsi="Calibri" w:cs="Calibri"/>
          <w:color w:val="1A1A1A"/>
          <w:sz w:val="22"/>
          <w:szCs w:val="22"/>
        </w:rPr>
        <w:t>grossing</w:t>
      </w:r>
      <w:proofErr w:type="spellEnd"/>
      <w:r>
        <w:rPr>
          <w:rFonts w:ascii="Calibri" w:hAnsi="Calibri" w:cs="Calibri"/>
          <w:color w:val="1A1A1A"/>
          <w:sz w:val="22"/>
          <w:szCs w:val="22"/>
        </w:rPr>
        <w:t>-up automatizado— que las plataformas generalistas de nómina no contemplan de forma nativa.</w:t>
      </w:r>
    </w:p>
    <w:p w14:paraId="64C94FE8" w14:textId="77777777" w:rsidR="005664FB" w:rsidRDefault="005664FB">
      <w:pPr>
        <w:shd w:val="clear" w:color="auto" w:fill="F2F5FA"/>
        <w:divId w:val="984940957"/>
        <w:rPr>
          <w:rFonts w:ascii="Calibri" w:eastAsia="Times New Roman" w:hAnsi="Calibri" w:cs="Calibri"/>
          <w:color w:val="1A1A1A"/>
          <w:sz w:val="22"/>
          <w:szCs w:val="22"/>
        </w:rPr>
      </w:pPr>
      <w:r>
        <w:rPr>
          <w:rFonts w:ascii="Calibri" w:eastAsia="Times New Roman" w:hAnsi="Calibri" w:cs="Calibri"/>
          <w:b/>
          <w:bCs/>
          <w:color w:val="1A1A1A"/>
          <w:sz w:val="22"/>
          <w:szCs w:val="22"/>
        </w:rPr>
        <w:t>Sin desembolso inicial, con horas de adaptación incluidas y sin costo por empleado.</w:t>
      </w:r>
      <w:r>
        <w:rPr>
          <w:rFonts w:ascii="Calibri" w:eastAsia="Times New Roman" w:hAnsi="Calibri" w:cs="Calibri"/>
          <w:color w:val="1A1A1A"/>
          <w:sz w:val="22"/>
          <w:szCs w:val="22"/>
        </w:rPr>
        <w:br/>
        <w:t>No hay pago de implementación ni de licencia por adelantado: un abono mensual desde el primer mes, que incluye las horas de consultoría y desarrollo necesarias para que el sistema acompañe a la operación.</w:t>
      </w:r>
      <w:r>
        <w:rPr>
          <w:rFonts w:ascii="Calibri" w:eastAsia="Times New Roman" w:hAnsi="Calibri" w:cs="Calibri"/>
          <w:color w:val="1A1A1A"/>
          <w:sz w:val="22"/>
          <w:szCs w:val="22"/>
        </w:rPr>
        <w:br/>
      </w:r>
      <w:r>
        <w:rPr>
          <w:rFonts w:ascii="Calibri" w:eastAsia="Times New Roman" w:hAnsi="Calibri" w:cs="Calibri"/>
          <w:color w:val="1A1A1A"/>
          <w:sz w:val="22"/>
          <w:szCs w:val="22"/>
        </w:rPr>
        <w:br/>
        <w:t xml:space="preserve">El abono </w:t>
      </w:r>
      <w:r>
        <w:rPr>
          <w:rFonts w:ascii="Calibri" w:eastAsia="Times New Roman" w:hAnsi="Calibri" w:cs="Calibri"/>
          <w:b/>
          <w:bCs/>
          <w:color w:val="1A1A1A"/>
          <w:sz w:val="22"/>
          <w:szCs w:val="22"/>
        </w:rPr>
        <w:t>no varía con la dotación</w:t>
      </w:r>
      <w:r>
        <w:rPr>
          <w:rFonts w:ascii="Calibri" w:eastAsia="Times New Roman" w:hAnsi="Calibri" w:cs="Calibri"/>
          <w:color w:val="1A1A1A"/>
          <w:sz w:val="22"/>
          <w:szCs w:val="22"/>
        </w:rPr>
        <w:t xml:space="preserve">. Una plataforma que cobra por empleado activo encarece cada incorporación; acá el costo es el mismo con 300 empleados que con 600. </w:t>
      </w:r>
      <w:r>
        <w:rPr>
          <w:rFonts w:ascii="Calibri" w:eastAsia="Times New Roman" w:hAnsi="Calibri" w:cs="Calibri"/>
          <w:color w:val="1A1A1A"/>
          <w:sz w:val="22"/>
          <w:szCs w:val="22"/>
        </w:rPr>
        <w:br/>
      </w:r>
      <w:r>
        <w:rPr>
          <w:rFonts w:ascii="Calibri" w:eastAsia="Times New Roman" w:hAnsi="Calibri" w:cs="Calibri"/>
          <w:b/>
          <w:bCs/>
          <w:color w:val="1A1A1A"/>
          <w:sz w:val="22"/>
          <w:szCs w:val="22"/>
        </w:rPr>
        <w:br/>
        <w:t>Las adaptaciones durante la implementación están incluidas.</w:t>
      </w:r>
      <w:r>
        <w:rPr>
          <w:rFonts w:ascii="Calibri" w:eastAsia="Times New Roman" w:hAnsi="Calibri" w:cs="Calibri"/>
          <w:color w:val="1A1A1A"/>
          <w:sz w:val="22"/>
          <w:szCs w:val="22"/>
        </w:rPr>
        <w:t xml:space="preserve"> </w:t>
      </w:r>
      <w:proofErr w:type="gramStart"/>
      <w:r>
        <w:rPr>
          <w:rFonts w:ascii="Calibri" w:eastAsia="Times New Roman" w:hAnsi="Calibri" w:cs="Calibri"/>
          <w:color w:val="1A1A1A"/>
          <w:sz w:val="22"/>
          <w:szCs w:val="22"/>
        </w:rPr>
        <w:t>Las mejoras a realizar</w:t>
      </w:r>
      <w:proofErr w:type="gramEnd"/>
      <w:r>
        <w:rPr>
          <w:rFonts w:ascii="Calibri" w:eastAsia="Times New Roman" w:hAnsi="Calibri" w:cs="Calibri"/>
          <w:color w:val="1A1A1A"/>
          <w:sz w:val="22"/>
          <w:szCs w:val="22"/>
        </w:rPr>
        <w:t xml:space="preserve"> durante el período de implementación se absorberán íntegramente, sin generar horas adicionales. A estos efectos, el período de implementación se considera concluido con la primera liquidación mensual completa procesada en producción.</w:t>
      </w:r>
    </w:p>
    <w:p w14:paraId="1A0B5611" w14:textId="77777777" w:rsidR="005664FB" w:rsidRPr="00D10A5C" w:rsidRDefault="005664FB">
      <w:pPr>
        <w:pStyle w:val="Ttulo2"/>
        <w:rPr>
          <w:rFonts w:ascii="Calibri" w:eastAsia="Times New Roman" w:hAnsi="Calibri" w:cs="Calibri"/>
          <w:lang w:val="es-MX"/>
        </w:rPr>
      </w:pPr>
      <w:r>
        <w:rPr>
          <w:rFonts w:ascii="Calibri" w:eastAsia="Times New Roman" w:hAnsi="Calibri" w:cs="Calibri"/>
        </w:rPr>
        <w:t>2. El módulo</w:t>
      </w:r>
    </w:p>
    <w:p w14:paraId="3FF19B66"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t>Corre sobre el licenciamiento de Business Central que la empresa ya posee. No requiere servidores, bases de datos ni licencias de plataforma adicionales. Los empleados, proyectos (mareas), buques y la contabilidad son los mismos registros del ERP: no hay sincronización que mantener ni datos duplicados.</w:t>
      </w:r>
    </w:p>
    <w:p w14:paraId="32E36E00" w14:textId="77777777" w:rsidR="005664FB" w:rsidRDefault="005664FB">
      <w:pPr>
        <w:pStyle w:val="Ttulo3"/>
        <w:rPr>
          <w:rFonts w:ascii="Calibri" w:eastAsia="Times New Roman" w:hAnsi="Calibri" w:cs="Calibri"/>
        </w:rPr>
      </w:pPr>
      <w:r>
        <w:rPr>
          <w:rFonts w:ascii="Calibri" w:eastAsia="Times New Roman" w:hAnsi="Calibri" w:cs="Calibri"/>
        </w:rPr>
        <w:t>Motor de cálculo</w:t>
      </w:r>
    </w:p>
    <w:p w14:paraId="59FFB696" w14:textId="77777777" w:rsidR="005664FB" w:rsidRDefault="005664FB">
      <w:pPr>
        <w:numPr>
          <w:ilvl w:val="0"/>
          <w:numId w:val="1"/>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Motor de fórmulas configurable con funciones, condiciones, referencias entre conceptos y tablas escalonadas por tramos.</w:t>
      </w:r>
    </w:p>
    <w:p w14:paraId="420C885C" w14:textId="77777777" w:rsidR="005664FB" w:rsidRDefault="005664FB">
      <w:pPr>
        <w:numPr>
          <w:ilvl w:val="0"/>
          <w:numId w:val="1"/>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Acumuladores con distribución porcentual configurable por concepto, con vigencia propia.</w:t>
      </w:r>
    </w:p>
    <w:p w14:paraId="75D81287" w14:textId="77777777" w:rsidR="005664FB" w:rsidRDefault="005664FB">
      <w:pPr>
        <w:numPr>
          <w:ilvl w:val="0"/>
          <w:numId w:val="1"/>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 xml:space="preserve">Convergencia automática de </w:t>
      </w:r>
      <w:proofErr w:type="spellStart"/>
      <w:r>
        <w:rPr>
          <w:rFonts w:ascii="Calibri" w:eastAsia="Times New Roman" w:hAnsi="Calibri" w:cs="Calibri"/>
          <w:i/>
          <w:iCs/>
          <w:color w:val="1A1A1A"/>
          <w:sz w:val="22"/>
          <w:szCs w:val="22"/>
        </w:rPr>
        <w:t>grossing</w:t>
      </w:r>
      <w:proofErr w:type="spellEnd"/>
      <w:r>
        <w:rPr>
          <w:rFonts w:ascii="Calibri" w:eastAsia="Times New Roman" w:hAnsi="Calibri" w:cs="Calibri"/>
          <w:i/>
          <w:iCs/>
          <w:color w:val="1A1A1A"/>
          <w:sz w:val="22"/>
          <w:szCs w:val="22"/>
        </w:rPr>
        <w:t>-up</w:t>
      </w:r>
      <w:r>
        <w:rPr>
          <w:rFonts w:ascii="Calibri" w:eastAsia="Times New Roman" w:hAnsi="Calibri" w:cs="Calibri"/>
          <w:color w:val="1A1A1A"/>
          <w:sz w:val="22"/>
          <w:szCs w:val="22"/>
        </w:rPr>
        <w:t xml:space="preserve"> para netos garantizados.</w:t>
      </w:r>
    </w:p>
    <w:p w14:paraId="7D4BAE77" w14:textId="77777777" w:rsidR="005664FB" w:rsidRDefault="005664FB">
      <w:pPr>
        <w:numPr>
          <w:ilvl w:val="0"/>
          <w:numId w:val="1"/>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Tipos de liquidación (mensual, cierre de marea, y los que se definan) con conceptos aplicables por tipo.</w:t>
      </w:r>
    </w:p>
    <w:p w14:paraId="5B70FAF2" w14:textId="77777777" w:rsidR="005664FB" w:rsidRDefault="005664FB">
      <w:pPr>
        <w:numPr>
          <w:ilvl w:val="0"/>
          <w:numId w:val="1"/>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Convenios colectivos y categorías, con aplicabilidad de concepto por convenio y categoría.</w:t>
      </w:r>
    </w:p>
    <w:p w14:paraId="60EB723B" w14:textId="77777777" w:rsidR="005664FB" w:rsidRDefault="005664FB">
      <w:pPr>
        <w:numPr>
          <w:ilvl w:val="0"/>
          <w:numId w:val="1"/>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Herramientas de carga masiva de novedades y atributos.</w:t>
      </w:r>
    </w:p>
    <w:p w14:paraId="438A302D" w14:textId="77777777" w:rsidR="005664FB" w:rsidRDefault="005664FB">
      <w:pPr>
        <w:numPr>
          <w:ilvl w:val="0"/>
          <w:numId w:val="1"/>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Gestión de cuentas corrientes de préstamos y anticipos.</w:t>
      </w:r>
    </w:p>
    <w:p w14:paraId="18580F87" w14:textId="77777777" w:rsidR="005664FB" w:rsidRDefault="005664FB">
      <w:pPr>
        <w:pStyle w:val="Ttulo3"/>
        <w:rPr>
          <w:rFonts w:ascii="Calibri" w:eastAsia="Times New Roman" w:hAnsi="Calibri" w:cs="Calibri"/>
        </w:rPr>
      </w:pPr>
      <w:r>
        <w:rPr>
          <w:rFonts w:ascii="Calibri" w:eastAsia="Times New Roman" w:hAnsi="Calibri" w:cs="Calibri"/>
        </w:rPr>
        <w:t>Vertical pesquero</w:t>
      </w:r>
    </w:p>
    <w:p w14:paraId="055859F4" w14:textId="77777777" w:rsidR="005664FB" w:rsidRDefault="005664FB">
      <w:pPr>
        <w:numPr>
          <w:ilvl w:val="0"/>
          <w:numId w:val="2"/>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Liquidación asociada a marea, con producción y coeficientes por marea.</w:t>
      </w:r>
    </w:p>
    <w:p w14:paraId="297FAA0D" w14:textId="77777777" w:rsidR="005664FB" w:rsidRDefault="005664FB">
      <w:pPr>
        <w:numPr>
          <w:ilvl w:val="0"/>
          <w:numId w:val="2"/>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Cuenta corriente de francos FIFO: cada franco conserva la categoría con la que se devengó y se paga valuado a esa categoría.</w:t>
      </w:r>
    </w:p>
    <w:p w14:paraId="21AB8858" w14:textId="77777777" w:rsidR="005664FB" w:rsidRDefault="005664FB">
      <w:pPr>
        <w:numPr>
          <w:ilvl w:val="0"/>
          <w:numId w:val="2"/>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Estados de empleado y de buque con historial fechado, contigüidad mantenida y transiciones semiautomáticas.</w:t>
      </w:r>
    </w:p>
    <w:p w14:paraId="4C9A66B8" w14:textId="77777777" w:rsidR="005664FB" w:rsidRDefault="005664FB">
      <w:pPr>
        <w:numPr>
          <w:ilvl w:val="0"/>
          <w:numId w:val="2"/>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Zona desfavorable resuelta priorizando por marea, con caída al valor del empleado.</w:t>
      </w:r>
    </w:p>
    <w:p w14:paraId="5A637703" w14:textId="77777777" w:rsidR="005664FB" w:rsidRDefault="005664FB">
      <w:pPr>
        <w:pStyle w:val="Ttulo3"/>
        <w:rPr>
          <w:rFonts w:ascii="Calibri" w:eastAsia="Times New Roman" w:hAnsi="Calibri" w:cs="Calibri"/>
        </w:rPr>
      </w:pPr>
      <w:r>
        <w:rPr>
          <w:rFonts w:ascii="Calibri" w:eastAsia="Times New Roman" w:hAnsi="Calibri" w:cs="Calibri"/>
        </w:rPr>
        <w:t>Trazabilidad y control</w:t>
      </w:r>
    </w:p>
    <w:p w14:paraId="34D98396" w14:textId="77777777" w:rsidR="005664FB" w:rsidRDefault="005664FB">
      <w:pPr>
        <w:numPr>
          <w:ilvl w:val="0"/>
          <w:numId w:val="3"/>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Cada línea conserva la fórmula aplicada, la fórmula con los valores sustituidos y las variables que intervinieron.</w:t>
      </w:r>
    </w:p>
    <w:p w14:paraId="1799CEA3" w14:textId="77777777" w:rsidR="005664FB" w:rsidRDefault="005664FB">
      <w:pPr>
        <w:numPr>
          <w:ilvl w:val="0"/>
          <w:numId w:val="3"/>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 xml:space="preserve">Cada línea sella qué versión de concepto, qué vigencia de parámetro y qué vigencia de distribución se usaron: </w:t>
      </w:r>
      <w:r>
        <w:rPr>
          <w:rFonts w:ascii="Calibri" w:eastAsia="Times New Roman" w:hAnsi="Calibri" w:cs="Calibri"/>
          <w:b/>
          <w:bCs/>
          <w:color w:val="1A1A1A"/>
          <w:sz w:val="22"/>
          <w:szCs w:val="22"/>
        </w:rPr>
        <w:t>un período anterior se recalcula exactamente como salió</w:t>
      </w:r>
      <w:r>
        <w:rPr>
          <w:rFonts w:ascii="Calibri" w:eastAsia="Times New Roman" w:hAnsi="Calibri" w:cs="Calibri"/>
          <w:color w:val="1A1A1A"/>
          <w:sz w:val="22"/>
          <w:szCs w:val="22"/>
        </w:rPr>
        <w:t>.</w:t>
      </w:r>
    </w:p>
    <w:p w14:paraId="0298FF16" w14:textId="77777777" w:rsidR="005664FB" w:rsidRDefault="005664FB">
      <w:pPr>
        <w:numPr>
          <w:ilvl w:val="0"/>
          <w:numId w:val="3"/>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Registro de procesos: cada cálculo, aprobación y reapertura queda registrado con sus errores y advertencias.</w:t>
      </w:r>
    </w:p>
    <w:p w14:paraId="427EA77D" w14:textId="77777777" w:rsidR="005664FB" w:rsidRDefault="005664FB">
      <w:pPr>
        <w:numPr>
          <w:ilvl w:val="0"/>
          <w:numId w:val="3"/>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Historial de cambios de fórmula: quién cambió qué, cuándo, de qué texto a qué texto, con restauración.</w:t>
      </w:r>
    </w:p>
    <w:p w14:paraId="0FEC3E9B" w14:textId="77777777" w:rsidR="005664FB" w:rsidRDefault="005664FB">
      <w:pPr>
        <w:numPr>
          <w:ilvl w:val="0"/>
          <w:numId w:val="3"/>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Control de orden de cálculo: detecta si un concepto lee un acumulador antes de que todos sus aportes hayan entrado, un error que de otro modo produce importes menores sin ningún aviso.</w:t>
      </w:r>
    </w:p>
    <w:p w14:paraId="752A82C4" w14:textId="77777777" w:rsidR="005664FB" w:rsidRDefault="005664FB">
      <w:pPr>
        <w:pStyle w:val="Ttulo3"/>
        <w:rPr>
          <w:rFonts w:ascii="Calibri" w:eastAsia="Times New Roman" w:hAnsi="Calibri" w:cs="Calibri"/>
        </w:rPr>
      </w:pPr>
      <w:r>
        <w:rPr>
          <w:rFonts w:ascii="Calibri" w:eastAsia="Times New Roman" w:hAnsi="Calibri" w:cs="Calibri"/>
        </w:rPr>
        <w:t>Configuración sin programación</w:t>
      </w:r>
    </w:p>
    <w:p w14:paraId="7AE79DD3" w14:textId="77777777" w:rsidR="005664FB" w:rsidRDefault="005664FB">
      <w:pPr>
        <w:numPr>
          <w:ilvl w:val="0"/>
          <w:numId w:val="4"/>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Parámetros con vigencia y sufijos por empleado, convenio o categoría.</w:t>
      </w:r>
    </w:p>
    <w:p w14:paraId="229E94FA" w14:textId="77777777" w:rsidR="005664FB" w:rsidRDefault="005664FB">
      <w:pPr>
        <w:numPr>
          <w:ilvl w:val="0"/>
          <w:numId w:val="4"/>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Fuentes de datos: cualquier dato de cualquier tabla del sistema de gestión entra a una fórmula sin desarrollo.</w:t>
      </w:r>
    </w:p>
    <w:p w14:paraId="38C5EEE5" w14:textId="77777777" w:rsidR="005664FB" w:rsidRDefault="005664FB">
      <w:pPr>
        <w:numPr>
          <w:ilvl w:val="0"/>
          <w:numId w:val="4"/>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Atributos tipados con historial, equivalentes a dimensiones, para incorporar datos nuevos como configuración (</w:t>
      </w:r>
      <w:proofErr w:type="spellStart"/>
      <w:r>
        <w:rPr>
          <w:rFonts w:ascii="Calibri" w:eastAsia="Times New Roman" w:hAnsi="Calibri" w:cs="Calibri"/>
          <w:color w:val="1A1A1A"/>
          <w:sz w:val="22"/>
          <w:szCs w:val="22"/>
        </w:rPr>
        <w:t>p.e</w:t>
      </w:r>
      <w:proofErr w:type="spellEnd"/>
      <w:r>
        <w:rPr>
          <w:rFonts w:ascii="Calibri" w:eastAsia="Times New Roman" w:hAnsi="Calibri" w:cs="Calibri"/>
          <w:color w:val="1A1A1A"/>
          <w:sz w:val="22"/>
          <w:szCs w:val="22"/>
        </w:rPr>
        <w:t>., zona desfavorable).</w:t>
      </w:r>
    </w:p>
    <w:p w14:paraId="1C6AAA40" w14:textId="77777777" w:rsidR="005664FB" w:rsidRDefault="005664FB">
      <w:pPr>
        <w:numPr>
          <w:ilvl w:val="0"/>
          <w:numId w:val="4"/>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Novedades cargadas antes de que exista la liquidación, con recurrencia e importación desde Excel.</w:t>
      </w:r>
    </w:p>
    <w:p w14:paraId="431211AC" w14:textId="77777777" w:rsidR="005664FB" w:rsidRDefault="005664FB">
      <w:pPr>
        <w:numPr>
          <w:ilvl w:val="0"/>
          <w:numId w:val="4"/>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Editor de fórmulas con autocompletado, validación en vivo y prueba contra un empleado real.</w:t>
      </w:r>
    </w:p>
    <w:p w14:paraId="273CC4B5" w14:textId="77777777" w:rsidR="005664FB" w:rsidRDefault="005664FB">
      <w:pPr>
        <w:pStyle w:val="Ttulo3"/>
        <w:rPr>
          <w:rFonts w:ascii="Calibri" w:eastAsia="Times New Roman" w:hAnsi="Calibri" w:cs="Calibri"/>
        </w:rPr>
      </w:pPr>
      <w:r>
        <w:rPr>
          <w:rFonts w:ascii="Calibri" w:eastAsia="Times New Roman" w:hAnsi="Calibri" w:cs="Calibri"/>
        </w:rPr>
        <w:t>Salidas y cumplimiento</w:t>
      </w:r>
    </w:p>
    <w:p w14:paraId="615329B2" w14:textId="77777777" w:rsidR="005664FB" w:rsidRDefault="005664FB">
      <w:pPr>
        <w:numPr>
          <w:ilvl w:val="0"/>
          <w:numId w:val="5"/>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Recibo de sueldo en el formato de ley.</w:t>
      </w:r>
    </w:p>
    <w:p w14:paraId="4E73789D" w14:textId="77777777" w:rsidR="005664FB" w:rsidRDefault="005664FB">
      <w:pPr>
        <w:numPr>
          <w:ilvl w:val="0"/>
          <w:numId w:val="5"/>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Importación SIRADIG y cálculo de deducciones de Ganancias 4.ª categoría.</w:t>
      </w:r>
    </w:p>
    <w:p w14:paraId="3EE70EE7" w14:textId="77777777" w:rsidR="005664FB" w:rsidRDefault="005664FB">
      <w:pPr>
        <w:numPr>
          <w:ilvl w:val="0"/>
          <w:numId w:val="5"/>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Préstamos y cuotas con generación automática de incidencias.</w:t>
      </w:r>
    </w:p>
    <w:p w14:paraId="27671A05" w14:textId="77777777" w:rsidR="005664FB" w:rsidRDefault="005664FB">
      <w:pPr>
        <w:numPr>
          <w:ilvl w:val="0"/>
          <w:numId w:val="5"/>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Libro de Sueldos Digital.</w:t>
      </w:r>
    </w:p>
    <w:p w14:paraId="41339506" w14:textId="77777777" w:rsidR="005664FB" w:rsidRDefault="005664FB">
      <w:pPr>
        <w:pStyle w:val="Ttulo2"/>
        <w:rPr>
          <w:rFonts w:ascii="Calibri" w:eastAsia="Times New Roman" w:hAnsi="Calibri" w:cs="Calibri"/>
        </w:rPr>
      </w:pPr>
      <w:r>
        <w:rPr>
          <w:rFonts w:ascii="Calibri" w:eastAsia="Times New Roman" w:hAnsi="Calibri" w:cs="Calibri"/>
        </w:rPr>
        <w:t>3. Por qué dentro del ERP</w:t>
      </w:r>
    </w:p>
    <w:tbl>
      <w:tblPr>
        <w:tblW w:w="5000" w:type="pct"/>
        <w:tblCellMar>
          <w:top w:w="15" w:type="dxa"/>
          <w:left w:w="15" w:type="dxa"/>
          <w:bottom w:w="15" w:type="dxa"/>
          <w:right w:w="15" w:type="dxa"/>
        </w:tblCellMar>
        <w:tblLook w:val="04A0" w:firstRow="1" w:lastRow="0" w:firstColumn="1" w:lastColumn="0" w:noHBand="0" w:noVBand="1"/>
      </w:tblPr>
      <w:tblGrid>
        <w:gridCol w:w="2892"/>
        <w:gridCol w:w="2806"/>
        <w:gridCol w:w="2806"/>
      </w:tblGrid>
      <w:tr w:rsidR="005D680B" w14:paraId="65AB72B0" w14:textId="77777777">
        <w:tc>
          <w:tcPr>
            <w:tcW w:w="1700" w:type="pct"/>
            <w:shd w:val="clear" w:color="auto" w:fill="1F3864"/>
            <w:tcMar>
              <w:top w:w="100" w:type="dxa"/>
              <w:left w:w="140" w:type="dxa"/>
              <w:bottom w:w="100" w:type="dxa"/>
              <w:right w:w="140" w:type="dxa"/>
            </w:tcMar>
            <w:vAlign w:val="center"/>
            <w:hideMark/>
          </w:tcPr>
          <w:p w14:paraId="72E8F09A"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 </w:t>
            </w:r>
          </w:p>
        </w:tc>
        <w:tc>
          <w:tcPr>
            <w:tcW w:w="1650" w:type="pct"/>
            <w:shd w:val="clear" w:color="auto" w:fill="1F3864"/>
            <w:tcMar>
              <w:top w:w="100" w:type="dxa"/>
              <w:left w:w="140" w:type="dxa"/>
              <w:bottom w:w="100" w:type="dxa"/>
              <w:right w:w="140" w:type="dxa"/>
            </w:tcMar>
            <w:vAlign w:val="center"/>
            <w:hideMark/>
          </w:tcPr>
          <w:p w14:paraId="6D633396"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Módulo sobre Business Central</w:t>
            </w:r>
          </w:p>
        </w:tc>
        <w:tc>
          <w:tcPr>
            <w:tcW w:w="1650" w:type="pct"/>
            <w:shd w:val="clear" w:color="auto" w:fill="1F3864"/>
            <w:tcMar>
              <w:top w:w="100" w:type="dxa"/>
              <w:left w:w="140" w:type="dxa"/>
              <w:bottom w:w="100" w:type="dxa"/>
              <w:right w:w="140" w:type="dxa"/>
            </w:tcMar>
            <w:vAlign w:val="center"/>
            <w:hideMark/>
          </w:tcPr>
          <w:p w14:paraId="11BEF436"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Plataforma de nómina externa</w:t>
            </w:r>
          </w:p>
        </w:tc>
      </w:tr>
      <w:tr w:rsidR="005D680B" w14:paraId="0827EAE1" w14:textId="77777777">
        <w:tc>
          <w:tcPr>
            <w:tcW w:w="0" w:type="auto"/>
            <w:tcBorders>
              <w:bottom w:val="single" w:sz="4" w:space="0" w:color="BFBFBF"/>
            </w:tcBorders>
            <w:tcMar>
              <w:top w:w="100" w:type="dxa"/>
              <w:left w:w="140" w:type="dxa"/>
              <w:bottom w:w="100" w:type="dxa"/>
              <w:right w:w="140" w:type="dxa"/>
            </w:tcMar>
            <w:hideMark/>
          </w:tcPr>
          <w:p w14:paraId="7D5BB72E"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Datos de empleados, mareas y buques</w:t>
            </w:r>
          </w:p>
        </w:tc>
        <w:tc>
          <w:tcPr>
            <w:tcW w:w="0" w:type="auto"/>
            <w:tcBorders>
              <w:bottom w:val="single" w:sz="4" w:space="0" w:color="BFBFBF"/>
            </w:tcBorders>
            <w:tcMar>
              <w:top w:w="100" w:type="dxa"/>
              <w:left w:w="140" w:type="dxa"/>
              <w:bottom w:w="100" w:type="dxa"/>
              <w:right w:w="140" w:type="dxa"/>
            </w:tcMar>
            <w:hideMark/>
          </w:tcPr>
          <w:p w14:paraId="428F5978"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Los mismos registros del ERP</w:t>
            </w:r>
          </w:p>
        </w:tc>
        <w:tc>
          <w:tcPr>
            <w:tcW w:w="0" w:type="auto"/>
            <w:tcBorders>
              <w:bottom w:val="single" w:sz="4" w:space="0" w:color="BFBFBF"/>
            </w:tcBorders>
            <w:tcMar>
              <w:top w:w="100" w:type="dxa"/>
              <w:left w:w="140" w:type="dxa"/>
              <w:bottom w:w="100" w:type="dxa"/>
              <w:right w:w="140" w:type="dxa"/>
            </w:tcMar>
            <w:hideMark/>
          </w:tcPr>
          <w:p w14:paraId="106830E1" w14:textId="77777777" w:rsidR="005664FB" w:rsidRDefault="005664FB">
            <w:pPr>
              <w:spacing w:before="160" w:after="240"/>
              <w:rPr>
                <w:rFonts w:ascii="Calibri" w:eastAsia="Times New Roman" w:hAnsi="Calibri" w:cs="Calibri"/>
                <w:color w:val="1A1A1A"/>
                <w:sz w:val="20"/>
                <w:szCs w:val="20"/>
              </w:rPr>
            </w:pPr>
            <w:proofErr w:type="gramStart"/>
            <w:r>
              <w:rPr>
                <w:rFonts w:ascii="Calibri" w:eastAsia="Times New Roman" w:hAnsi="Calibri" w:cs="Calibri"/>
                <w:color w:val="1A1A1A"/>
                <w:sz w:val="20"/>
                <w:szCs w:val="20"/>
              </w:rPr>
              <w:t>Réplica a sincronizar</w:t>
            </w:r>
            <w:proofErr w:type="gramEnd"/>
          </w:p>
        </w:tc>
      </w:tr>
      <w:tr w:rsidR="005D680B" w14:paraId="65C6FB76" w14:textId="77777777">
        <w:tc>
          <w:tcPr>
            <w:tcW w:w="0" w:type="auto"/>
            <w:tcBorders>
              <w:bottom w:val="single" w:sz="4" w:space="0" w:color="BFBFBF"/>
            </w:tcBorders>
            <w:tcMar>
              <w:top w:w="100" w:type="dxa"/>
              <w:left w:w="140" w:type="dxa"/>
              <w:bottom w:w="100" w:type="dxa"/>
              <w:right w:w="140" w:type="dxa"/>
            </w:tcMar>
            <w:hideMark/>
          </w:tcPr>
          <w:p w14:paraId="7E6A639F"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Asiento contable de la liquidación</w:t>
            </w:r>
          </w:p>
        </w:tc>
        <w:tc>
          <w:tcPr>
            <w:tcW w:w="0" w:type="auto"/>
            <w:tcBorders>
              <w:bottom w:val="single" w:sz="4" w:space="0" w:color="BFBFBF"/>
            </w:tcBorders>
            <w:tcMar>
              <w:top w:w="100" w:type="dxa"/>
              <w:left w:w="140" w:type="dxa"/>
              <w:bottom w:w="100" w:type="dxa"/>
              <w:right w:w="140" w:type="dxa"/>
            </w:tcMar>
            <w:hideMark/>
          </w:tcPr>
          <w:p w14:paraId="527CB935"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Directo, sin interfaz</w:t>
            </w:r>
          </w:p>
        </w:tc>
        <w:tc>
          <w:tcPr>
            <w:tcW w:w="0" w:type="auto"/>
            <w:tcBorders>
              <w:bottom w:val="single" w:sz="4" w:space="0" w:color="BFBFBF"/>
            </w:tcBorders>
            <w:tcMar>
              <w:top w:w="100" w:type="dxa"/>
              <w:left w:w="140" w:type="dxa"/>
              <w:bottom w:w="100" w:type="dxa"/>
              <w:right w:w="140" w:type="dxa"/>
            </w:tcMar>
            <w:hideMark/>
          </w:tcPr>
          <w:p w14:paraId="15D9F635" w14:textId="77777777" w:rsidR="005664FB" w:rsidRDefault="005664FB">
            <w:pPr>
              <w:spacing w:before="160" w:after="240"/>
              <w:rPr>
                <w:rFonts w:ascii="Calibri" w:eastAsia="Times New Roman" w:hAnsi="Calibri" w:cs="Calibri"/>
                <w:color w:val="1A1A1A"/>
                <w:sz w:val="20"/>
                <w:szCs w:val="20"/>
              </w:rPr>
            </w:pPr>
            <w:proofErr w:type="gramStart"/>
            <w:r>
              <w:rPr>
                <w:rFonts w:ascii="Calibri" w:eastAsia="Times New Roman" w:hAnsi="Calibri" w:cs="Calibri"/>
                <w:color w:val="1A1A1A"/>
                <w:sz w:val="20"/>
                <w:szCs w:val="20"/>
              </w:rPr>
              <w:t>Interfaz a construir</w:t>
            </w:r>
            <w:proofErr w:type="gramEnd"/>
            <w:r>
              <w:rPr>
                <w:rFonts w:ascii="Calibri" w:eastAsia="Times New Roman" w:hAnsi="Calibri" w:cs="Calibri"/>
                <w:color w:val="1A1A1A"/>
                <w:sz w:val="20"/>
                <w:szCs w:val="20"/>
              </w:rPr>
              <w:t xml:space="preserve"> y mantener</w:t>
            </w:r>
          </w:p>
        </w:tc>
      </w:tr>
      <w:tr w:rsidR="005D680B" w14:paraId="03D52B94" w14:textId="77777777">
        <w:tc>
          <w:tcPr>
            <w:tcW w:w="0" w:type="auto"/>
            <w:tcBorders>
              <w:bottom w:val="single" w:sz="4" w:space="0" w:color="BFBFBF"/>
            </w:tcBorders>
            <w:tcMar>
              <w:top w:w="100" w:type="dxa"/>
              <w:left w:w="140" w:type="dxa"/>
              <w:bottom w:w="100" w:type="dxa"/>
              <w:right w:w="140" w:type="dxa"/>
            </w:tcMar>
            <w:hideMark/>
          </w:tcPr>
          <w:p w14:paraId="1DA9BE27"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Costo laboral por marea y por buque</w:t>
            </w:r>
          </w:p>
        </w:tc>
        <w:tc>
          <w:tcPr>
            <w:tcW w:w="0" w:type="auto"/>
            <w:tcBorders>
              <w:bottom w:val="single" w:sz="4" w:space="0" w:color="BFBFBF"/>
            </w:tcBorders>
            <w:tcMar>
              <w:top w:w="100" w:type="dxa"/>
              <w:left w:w="140" w:type="dxa"/>
              <w:bottom w:w="100" w:type="dxa"/>
              <w:right w:w="140" w:type="dxa"/>
            </w:tcMar>
            <w:hideMark/>
          </w:tcPr>
          <w:p w14:paraId="13F0A14F"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Sobre la estructura de proyectos existente</w:t>
            </w:r>
          </w:p>
        </w:tc>
        <w:tc>
          <w:tcPr>
            <w:tcW w:w="0" w:type="auto"/>
            <w:tcBorders>
              <w:bottom w:val="single" w:sz="4" w:space="0" w:color="BFBFBF"/>
            </w:tcBorders>
            <w:tcMar>
              <w:top w:w="100" w:type="dxa"/>
              <w:left w:w="140" w:type="dxa"/>
              <w:bottom w:w="100" w:type="dxa"/>
              <w:right w:w="140" w:type="dxa"/>
            </w:tcMar>
            <w:hideMark/>
          </w:tcPr>
          <w:p w14:paraId="1168FD96"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Requiere exportar y reprocesar</w:t>
            </w:r>
          </w:p>
        </w:tc>
      </w:tr>
      <w:tr w:rsidR="005D680B" w14:paraId="375131A4" w14:textId="77777777">
        <w:tc>
          <w:tcPr>
            <w:tcW w:w="0" w:type="auto"/>
            <w:tcBorders>
              <w:bottom w:val="single" w:sz="4" w:space="0" w:color="BFBFBF"/>
            </w:tcBorders>
            <w:tcMar>
              <w:top w:w="100" w:type="dxa"/>
              <w:left w:w="140" w:type="dxa"/>
              <w:bottom w:w="100" w:type="dxa"/>
              <w:right w:w="140" w:type="dxa"/>
            </w:tcMar>
            <w:hideMark/>
          </w:tcPr>
          <w:p w14:paraId="23F57634"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Licencia de plataforma</w:t>
            </w:r>
          </w:p>
        </w:tc>
        <w:tc>
          <w:tcPr>
            <w:tcW w:w="0" w:type="auto"/>
            <w:tcBorders>
              <w:bottom w:val="single" w:sz="4" w:space="0" w:color="BFBFBF"/>
            </w:tcBorders>
            <w:tcMar>
              <w:top w:w="100" w:type="dxa"/>
              <w:left w:w="140" w:type="dxa"/>
              <w:bottom w:w="100" w:type="dxa"/>
              <w:right w:w="140" w:type="dxa"/>
            </w:tcMar>
            <w:hideMark/>
          </w:tcPr>
          <w:p w14:paraId="1AC46D87"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La de BC, ya adquirida</w:t>
            </w:r>
          </w:p>
        </w:tc>
        <w:tc>
          <w:tcPr>
            <w:tcW w:w="0" w:type="auto"/>
            <w:tcBorders>
              <w:bottom w:val="single" w:sz="4" w:space="0" w:color="BFBFBF"/>
            </w:tcBorders>
            <w:tcMar>
              <w:top w:w="100" w:type="dxa"/>
              <w:left w:w="140" w:type="dxa"/>
              <w:bottom w:w="100" w:type="dxa"/>
              <w:right w:w="140" w:type="dxa"/>
            </w:tcMar>
            <w:hideMark/>
          </w:tcPr>
          <w:p w14:paraId="7CAA9634"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Adicional, por empleado activo</w:t>
            </w:r>
          </w:p>
        </w:tc>
      </w:tr>
      <w:tr w:rsidR="005D680B" w14:paraId="590AF146" w14:textId="77777777">
        <w:tc>
          <w:tcPr>
            <w:tcW w:w="0" w:type="auto"/>
            <w:tcBorders>
              <w:bottom w:val="single" w:sz="4" w:space="0" w:color="BFBFBF"/>
            </w:tcBorders>
            <w:tcMar>
              <w:top w:w="100" w:type="dxa"/>
              <w:left w:w="140" w:type="dxa"/>
              <w:bottom w:w="100" w:type="dxa"/>
              <w:right w:w="140" w:type="dxa"/>
            </w:tcMar>
            <w:hideMark/>
          </w:tcPr>
          <w:p w14:paraId="40EA3805"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Usuarios y permisos</w:t>
            </w:r>
          </w:p>
        </w:tc>
        <w:tc>
          <w:tcPr>
            <w:tcW w:w="0" w:type="auto"/>
            <w:tcBorders>
              <w:bottom w:val="single" w:sz="4" w:space="0" w:color="BFBFBF"/>
            </w:tcBorders>
            <w:tcMar>
              <w:top w:w="100" w:type="dxa"/>
              <w:left w:w="140" w:type="dxa"/>
              <w:bottom w:w="100" w:type="dxa"/>
              <w:right w:w="140" w:type="dxa"/>
            </w:tcMar>
            <w:hideMark/>
          </w:tcPr>
          <w:p w14:paraId="7473F0AE"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Los de BC</w:t>
            </w:r>
          </w:p>
        </w:tc>
        <w:tc>
          <w:tcPr>
            <w:tcW w:w="0" w:type="auto"/>
            <w:tcBorders>
              <w:bottom w:val="single" w:sz="4" w:space="0" w:color="BFBFBF"/>
            </w:tcBorders>
            <w:tcMar>
              <w:top w:w="100" w:type="dxa"/>
              <w:left w:w="140" w:type="dxa"/>
              <w:bottom w:w="100" w:type="dxa"/>
              <w:right w:w="140" w:type="dxa"/>
            </w:tcMar>
            <w:hideMark/>
          </w:tcPr>
          <w:p w14:paraId="1EE52D63"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Administración separada</w:t>
            </w:r>
          </w:p>
        </w:tc>
      </w:tr>
    </w:tbl>
    <w:p w14:paraId="13D7011E" w14:textId="77777777" w:rsidR="005664FB" w:rsidRDefault="005664FB">
      <w:pPr>
        <w:pStyle w:val="Ttulo2"/>
        <w:rPr>
          <w:rFonts w:ascii="Calibri" w:eastAsia="Times New Roman" w:hAnsi="Calibri" w:cs="Calibri"/>
        </w:rPr>
      </w:pPr>
      <w:r>
        <w:rPr>
          <w:rFonts w:ascii="Calibri" w:eastAsia="Times New Roman" w:hAnsi="Calibri" w:cs="Calibri"/>
        </w:rPr>
        <w:t>4. El sistema se adapta a la operación, no al revés</w:t>
      </w:r>
    </w:p>
    <w:p w14:paraId="3A52AAF3"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t xml:space="preserve">La pregunta de fondo al elegir entre las alternativas no es cuánta funcionalidad trae cada una, sino </w:t>
      </w:r>
      <w:r>
        <w:rPr>
          <w:rFonts w:ascii="Calibri" w:hAnsi="Calibri" w:cs="Calibri"/>
          <w:b/>
          <w:bCs/>
          <w:color w:val="1A1A1A"/>
          <w:sz w:val="22"/>
          <w:szCs w:val="22"/>
        </w:rPr>
        <w:t>quién se adapta a quién</w:t>
      </w:r>
      <w:r>
        <w:rPr>
          <w:rFonts w:ascii="Calibri" w:hAnsi="Calibri" w:cs="Calibri"/>
          <w:color w:val="1A1A1A"/>
          <w:sz w:val="22"/>
          <w:szCs w:val="22"/>
        </w:rPr>
        <w:t>. En una plataforma generalista, cada particularidad de la operación —una modalidad de marea distinta, un acuerdo con una categoría puntual, una forma propia de valuar francos— se resuelve cambiando el procedimiento de la empresa, o pagando una adaptación por hora que además complica cada actualización futura.</w:t>
      </w:r>
    </w:p>
    <w:p w14:paraId="1074F7F5"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t xml:space="preserve">Este módulo se propone en el modelo inverso: </w:t>
      </w:r>
      <w:r>
        <w:rPr>
          <w:rFonts w:ascii="Calibri" w:hAnsi="Calibri" w:cs="Calibri"/>
          <w:b/>
          <w:bCs/>
          <w:color w:val="1A1A1A"/>
          <w:sz w:val="22"/>
          <w:szCs w:val="22"/>
        </w:rPr>
        <w:t>una base de producto ya construida y probada, que evoluciona a medida de Arbumasa</w:t>
      </w:r>
      <w:r>
        <w:rPr>
          <w:rFonts w:ascii="Calibri" w:hAnsi="Calibri" w:cs="Calibri"/>
          <w:color w:val="1A1A1A"/>
          <w:sz w:val="22"/>
          <w:szCs w:val="22"/>
        </w:rPr>
        <w:t>. Las horas incluidas en el abono existen exactamente para eso.</w:t>
      </w:r>
    </w:p>
    <w:tbl>
      <w:tblPr>
        <w:tblW w:w="5000" w:type="pct"/>
        <w:tblCellMar>
          <w:top w:w="15" w:type="dxa"/>
          <w:left w:w="15" w:type="dxa"/>
          <w:bottom w:w="15" w:type="dxa"/>
          <w:right w:w="15" w:type="dxa"/>
        </w:tblCellMar>
        <w:tblLook w:val="04A0" w:firstRow="1" w:lastRow="0" w:firstColumn="1" w:lastColumn="0" w:noHBand="0" w:noVBand="1"/>
      </w:tblPr>
      <w:tblGrid>
        <w:gridCol w:w="2636"/>
        <w:gridCol w:w="1956"/>
        <w:gridCol w:w="1956"/>
        <w:gridCol w:w="1956"/>
      </w:tblGrid>
      <w:tr w:rsidR="005D680B" w14:paraId="5D154176" w14:textId="77777777">
        <w:tc>
          <w:tcPr>
            <w:tcW w:w="1550" w:type="pct"/>
            <w:shd w:val="clear" w:color="auto" w:fill="1F3864"/>
            <w:tcMar>
              <w:top w:w="100" w:type="dxa"/>
              <w:left w:w="140" w:type="dxa"/>
              <w:bottom w:w="100" w:type="dxa"/>
              <w:right w:w="140" w:type="dxa"/>
            </w:tcMar>
            <w:vAlign w:val="center"/>
            <w:hideMark/>
          </w:tcPr>
          <w:p w14:paraId="72593703"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 </w:t>
            </w:r>
          </w:p>
        </w:tc>
        <w:tc>
          <w:tcPr>
            <w:tcW w:w="1150" w:type="pct"/>
            <w:shd w:val="clear" w:color="auto" w:fill="1F3864"/>
            <w:tcMar>
              <w:top w:w="100" w:type="dxa"/>
              <w:left w:w="140" w:type="dxa"/>
              <w:bottom w:w="100" w:type="dxa"/>
              <w:right w:w="140" w:type="dxa"/>
            </w:tcMar>
            <w:vAlign w:val="center"/>
            <w:hideMark/>
          </w:tcPr>
          <w:p w14:paraId="63A05317"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Plataforma generalista</w:t>
            </w:r>
          </w:p>
        </w:tc>
        <w:tc>
          <w:tcPr>
            <w:tcW w:w="1150" w:type="pct"/>
            <w:shd w:val="clear" w:color="auto" w:fill="1F3864"/>
            <w:tcMar>
              <w:top w:w="100" w:type="dxa"/>
              <w:left w:w="140" w:type="dxa"/>
              <w:bottom w:w="100" w:type="dxa"/>
              <w:right w:w="140" w:type="dxa"/>
            </w:tcMar>
            <w:vAlign w:val="center"/>
            <w:hideMark/>
          </w:tcPr>
          <w:p w14:paraId="18A093DE"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Desarrollo a medida puro</w:t>
            </w:r>
          </w:p>
        </w:tc>
        <w:tc>
          <w:tcPr>
            <w:tcW w:w="1150" w:type="pct"/>
            <w:shd w:val="clear" w:color="auto" w:fill="1F3864"/>
            <w:tcMar>
              <w:top w:w="100" w:type="dxa"/>
              <w:left w:w="140" w:type="dxa"/>
              <w:bottom w:w="100" w:type="dxa"/>
              <w:right w:w="140" w:type="dxa"/>
            </w:tcMar>
            <w:vAlign w:val="center"/>
            <w:hideMark/>
          </w:tcPr>
          <w:p w14:paraId="63555E73"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Este módulo</w:t>
            </w:r>
          </w:p>
        </w:tc>
      </w:tr>
      <w:tr w:rsidR="005D680B" w14:paraId="545890FB" w14:textId="77777777">
        <w:tc>
          <w:tcPr>
            <w:tcW w:w="0" w:type="auto"/>
            <w:tcBorders>
              <w:bottom w:val="single" w:sz="4" w:space="0" w:color="BFBFBF"/>
            </w:tcBorders>
            <w:tcMar>
              <w:top w:w="100" w:type="dxa"/>
              <w:left w:w="140" w:type="dxa"/>
              <w:bottom w:w="100" w:type="dxa"/>
              <w:right w:w="140" w:type="dxa"/>
            </w:tcMar>
            <w:hideMark/>
          </w:tcPr>
          <w:p w14:paraId="137D23FC"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Base construida y probada desde el inicio</w:t>
            </w:r>
          </w:p>
        </w:tc>
        <w:tc>
          <w:tcPr>
            <w:tcW w:w="0" w:type="auto"/>
            <w:tcBorders>
              <w:bottom w:val="single" w:sz="4" w:space="0" w:color="BFBFBF"/>
            </w:tcBorders>
            <w:tcMar>
              <w:top w:w="100" w:type="dxa"/>
              <w:left w:w="140" w:type="dxa"/>
              <w:bottom w:w="100" w:type="dxa"/>
              <w:right w:w="140" w:type="dxa"/>
            </w:tcMar>
            <w:hideMark/>
          </w:tcPr>
          <w:p w14:paraId="42DA4567"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Sí</w:t>
            </w:r>
          </w:p>
        </w:tc>
        <w:tc>
          <w:tcPr>
            <w:tcW w:w="0" w:type="auto"/>
            <w:tcBorders>
              <w:bottom w:val="single" w:sz="4" w:space="0" w:color="BFBFBF"/>
            </w:tcBorders>
            <w:tcMar>
              <w:top w:w="100" w:type="dxa"/>
              <w:left w:w="140" w:type="dxa"/>
              <w:bottom w:w="100" w:type="dxa"/>
              <w:right w:w="140" w:type="dxa"/>
            </w:tcMar>
            <w:hideMark/>
          </w:tcPr>
          <w:p w14:paraId="4AA54580"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No, se construye</w:t>
            </w:r>
          </w:p>
        </w:tc>
        <w:tc>
          <w:tcPr>
            <w:tcW w:w="0" w:type="auto"/>
            <w:tcBorders>
              <w:bottom w:val="single" w:sz="4" w:space="0" w:color="BFBFBF"/>
            </w:tcBorders>
            <w:tcMar>
              <w:top w:w="100" w:type="dxa"/>
              <w:left w:w="140" w:type="dxa"/>
              <w:bottom w:w="100" w:type="dxa"/>
              <w:right w:w="140" w:type="dxa"/>
            </w:tcMar>
            <w:hideMark/>
          </w:tcPr>
          <w:p w14:paraId="41682B79"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b/>
                <w:bCs/>
                <w:color w:val="1A1A1A"/>
                <w:sz w:val="20"/>
                <w:szCs w:val="20"/>
              </w:rPr>
              <w:t>Sí</w:t>
            </w:r>
          </w:p>
        </w:tc>
      </w:tr>
      <w:tr w:rsidR="005D680B" w14:paraId="7B64D71E" w14:textId="77777777">
        <w:tc>
          <w:tcPr>
            <w:tcW w:w="0" w:type="auto"/>
            <w:tcBorders>
              <w:bottom w:val="single" w:sz="4" w:space="0" w:color="BFBFBF"/>
            </w:tcBorders>
            <w:tcMar>
              <w:top w:w="100" w:type="dxa"/>
              <w:left w:w="140" w:type="dxa"/>
              <w:bottom w:w="100" w:type="dxa"/>
              <w:right w:w="140" w:type="dxa"/>
            </w:tcMar>
            <w:hideMark/>
          </w:tcPr>
          <w:p w14:paraId="64BEC6B9"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Se adapta a la operación real</w:t>
            </w:r>
          </w:p>
        </w:tc>
        <w:tc>
          <w:tcPr>
            <w:tcW w:w="0" w:type="auto"/>
            <w:tcBorders>
              <w:bottom w:val="single" w:sz="4" w:space="0" w:color="BFBFBF"/>
            </w:tcBorders>
            <w:tcMar>
              <w:top w:w="100" w:type="dxa"/>
              <w:left w:w="140" w:type="dxa"/>
              <w:bottom w:w="100" w:type="dxa"/>
              <w:right w:w="140" w:type="dxa"/>
            </w:tcMar>
            <w:hideMark/>
          </w:tcPr>
          <w:p w14:paraId="05DA835F"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Con costo por hora</w:t>
            </w:r>
          </w:p>
        </w:tc>
        <w:tc>
          <w:tcPr>
            <w:tcW w:w="0" w:type="auto"/>
            <w:tcBorders>
              <w:bottom w:val="single" w:sz="4" w:space="0" w:color="BFBFBF"/>
            </w:tcBorders>
            <w:tcMar>
              <w:top w:w="100" w:type="dxa"/>
              <w:left w:w="140" w:type="dxa"/>
              <w:bottom w:w="100" w:type="dxa"/>
              <w:right w:w="140" w:type="dxa"/>
            </w:tcMar>
            <w:hideMark/>
          </w:tcPr>
          <w:p w14:paraId="2AEE9706"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Sí</w:t>
            </w:r>
          </w:p>
        </w:tc>
        <w:tc>
          <w:tcPr>
            <w:tcW w:w="0" w:type="auto"/>
            <w:tcBorders>
              <w:bottom w:val="single" w:sz="4" w:space="0" w:color="BFBFBF"/>
            </w:tcBorders>
            <w:tcMar>
              <w:top w:w="100" w:type="dxa"/>
              <w:left w:w="140" w:type="dxa"/>
              <w:bottom w:w="100" w:type="dxa"/>
              <w:right w:w="140" w:type="dxa"/>
            </w:tcMar>
            <w:hideMark/>
          </w:tcPr>
          <w:p w14:paraId="1E248DE9"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b/>
                <w:bCs/>
                <w:color w:val="1A1A1A"/>
                <w:sz w:val="20"/>
                <w:szCs w:val="20"/>
              </w:rPr>
              <w:t>Sí, incluido en el abono</w:t>
            </w:r>
          </w:p>
        </w:tc>
      </w:tr>
      <w:tr w:rsidR="005D680B" w14:paraId="445C811C" w14:textId="77777777">
        <w:tc>
          <w:tcPr>
            <w:tcW w:w="0" w:type="auto"/>
            <w:tcBorders>
              <w:bottom w:val="single" w:sz="4" w:space="0" w:color="BFBFBF"/>
            </w:tcBorders>
            <w:tcMar>
              <w:top w:w="100" w:type="dxa"/>
              <w:left w:w="140" w:type="dxa"/>
              <w:bottom w:w="100" w:type="dxa"/>
              <w:right w:w="140" w:type="dxa"/>
            </w:tcMar>
            <w:hideMark/>
          </w:tcPr>
          <w:p w14:paraId="669D91EE"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Versionado, soporte y actualizaciones de producto</w:t>
            </w:r>
          </w:p>
        </w:tc>
        <w:tc>
          <w:tcPr>
            <w:tcW w:w="0" w:type="auto"/>
            <w:tcBorders>
              <w:bottom w:val="single" w:sz="4" w:space="0" w:color="BFBFBF"/>
            </w:tcBorders>
            <w:tcMar>
              <w:top w:w="100" w:type="dxa"/>
              <w:left w:w="140" w:type="dxa"/>
              <w:bottom w:w="100" w:type="dxa"/>
              <w:right w:w="140" w:type="dxa"/>
            </w:tcMar>
            <w:hideMark/>
          </w:tcPr>
          <w:p w14:paraId="45F4575D"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Sí</w:t>
            </w:r>
          </w:p>
        </w:tc>
        <w:tc>
          <w:tcPr>
            <w:tcW w:w="0" w:type="auto"/>
            <w:tcBorders>
              <w:bottom w:val="single" w:sz="4" w:space="0" w:color="BFBFBF"/>
            </w:tcBorders>
            <w:tcMar>
              <w:top w:w="100" w:type="dxa"/>
              <w:left w:w="140" w:type="dxa"/>
              <w:bottom w:w="100" w:type="dxa"/>
              <w:right w:w="140" w:type="dxa"/>
            </w:tcMar>
            <w:hideMark/>
          </w:tcPr>
          <w:p w14:paraId="49C866F2"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Según el acuerdo</w:t>
            </w:r>
          </w:p>
        </w:tc>
        <w:tc>
          <w:tcPr>
            <w:tcW w:w="0" w:type="auto"/>
            <w:tcBorders>
              <w:bottom w:val="single" w:sz="4" w:space="0" w:color="BFBFBF"/>
            </w:tcBorders>
            <w:tcMar>
              <w:top w:w="100" w:type="dxa"/>
              <w:left w:w="140" w:type="dxa"/>
              <w:bottom w:w="100" w:type="dxa"/>
              <w:right w:w="140" w:type="dxa"/>
            </w:tcMar>
            <w:hideMark/>
          </w:tcPr>
          <w:p w14:paraId="28223BCA"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b/>
                <w:bCs/>
                <w:color w:val="1A1A1A"/>
                <w:sz w:val="20"/>
                <w:szCs w:val="20"/>
              </w:rPr>
              <w:t>Sí</w:t>
            </w:r>
          </w:p>
        </w:tc>
      </w:tr>
      <w:tr w:rsidR="005D680B" w14:paraId="4553BF26" w14:textId="77777777">
        <w:tc>
          <w:tcPr>
            <w:tcW w:w="0" w:type="auto"/>
            <w:tcBorders>
              <w:bottom w:val="single" w:sz="4" w:space="0" w:color="BFBFBF"/>
            </w:tcBorders>
            <w:tcMar>
              <w:top w:w="100" w:type="dxa"/>
              <w:left w:w="140" w:type="dxa"/>
              <w:bottom w:w="100" w:type="dxa"/>
              <w:right w:w="140" w:type="dxa"/>
            </w:tcMar>
            <w:hideMark/>
          </w:tcPr>
          <w:p w14:paraId="2BD1E903"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Costo de cada adaptación posterior</w:t>
            </w:r>
          </w:p>
        </w:tc>
        <w:tc>
          <w:tcPr>
            <w:tcW w:w="0" w:type="auto"/>
            <w:tcBorders>
              <w:bottom w:val="single" w:sz="4" w:space="0" w:color="BFBFBF"/>
            </w:tcBorders>
            <w:tcMar>
              <w:top w:w="100" w:type="dxa"/>
              <w:left w:w="140" w:type="dxa"/>
              <w:bottom w:w="100" w:type="dxa"/>
              <w:right w:w="140" w:type="dxa"/>
            </w:tcMar>
            <w:hideMark/>
          </w:tcPr>
          <w:p w14:paraId="2EE4E9C3"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USD 60 /h</w:t>
            </w:r>
          </w:p>
        </w:tc>
        <w:tc>
          <w:tcPr>
            <w:tcW w:w="0" w:type="auto"/>
            <w:tcBorders>
              <w:bottom w:val="single" w:sz="4" w:space="0" w:color="BFBFBF"/>
            </w:tcBorders>
            <w:tcMar>
              <w:top w:w="100" w:type="dxa"/>
              <w:left w:w="140" w:type="dxa"/>
              <w:bottom w:w="100" w:type="dxa"/>
              <w:right w:w="140" w:type="dxa"/>
            </w:tcMar>
            <w:hideMark/>
          </w:tcPr>
          <w:p w14:paraId="1EE8B73B"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Proyecto nuevo</w:t>
            </w:r>
          </w:p>
        </w:tc>
        <w:tc>
          <w:tcPr>
            <w:tcW w:w="0" w:type="auto"/>
            <w:tcBorders>
              <w:bottom w:val="single" w:sz="4" w:space="0" w:color="BFBFBF"/>
            </w:tcBorders>
            <w:tcMar>
              <w:top w:w="100" w:type="dxa"/>
              <w:left w:w="140" w:type="dxa"/>
              <w:bottom w:w="100" w:type="dxa"/>
              <w:right w:w="140" w:type="dxa"/>
            </w:tcMar>
            <w:hideMark/>
          </w:tcPr>
          <w:p w14:paraId="60CA20A8"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b/>
                <w:bCs/>
                <w:color w:val="1A1A1A"/>
                <w:sz w:val="20"/>
                <w:szCs w:val="20"/>
              </w:rPr>
              <w:t>Dentro del abono, hasta 10 h/mes</w:t>
            </w:r>
          </w:p>
        </w:tc>
      </w:tr>
      <w:tr w:rsidR="005D680B" w14:paraId="2657E324" w14:textId="77777777">
        <w:tc>
          <w:tcPr>
            <w:tcW w:w="0" w:type="auto"/>
            <w:tcBorders>
              <w:bottom w:val="single" w:sz="4" w:space="0" w:color="BFBFBF"/>
            </w:tcBorders>
            <w:tcMar>
              <w:top w:w="100" w:type="dxa"/>
              <w:left w:w="140" w:type="dxa"/>
              <w:bottom w:w="100" w:type="dxa"/>
              <w:right w:w="140" w:type="dxa"/>
            </w:tcMar>
            <w:hideMark/>
          </w:tcPr>
          <w:p w14:paraId="38D8E0C8"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Efecto de las adaptaciones sobre las actualizaciones</w:t>
            </w:r>
          </w:p>
        </w:tc>
        <w:tc>
          <w:tcPr>
            <w:tcW w:w="0" w:type="auto"/>
            <w:tcBorders>
              <w:bottom w:val="single" w:sz="4" w:space="0" w:color="BFBFBF"/>
            </w:tcBorders>
            <w:tcMar>
              <w:top w:w="100" w:type="dxa"/>
              <w:left w:w="140" w:type="dxa"/>
              <w:bottom w:w="100" w:type="dxa"/>
              <w:right w:w="140" w:type="dxa"/>
            </w:tcMar>
            <w:hideMark/>
          </w:tcPr>
          <w:p w14:paraId="73343989"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Las complican</w:t>
            </w:r>
          </w:p>
        </w:tc>
        <w:tc>
          <w:tcPr>
            <w:tcW w:w="0" w:type="auto"/>
            <w:tcBorders>
              <w:bottom w:val="single" w:sz="4" w:space="0" w:color="BFBFBF"/>
            </w:tcBorders>
            <w:tcMar>
              <w:top w:w="100" w:type="dxa"/>
              <w:left w:w="140" w:type="dxa"/>
              <w:bottom w:w="100" w:type="dxa"/>
              <w:right w:w="140" w:type="dxa"/>
            </w:tcMar>
            <w:hideMark/>
          </w:tcPr>
          <w:p w14:paraId="359037A7"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bottom w:val="single" w:sz="4" w:space="0" w:color="BFBFBF"/>
            </w:tcBorders>
            <w:tcMar>
              <w:top w:w="100" w:type="dxa"/>
              <w:left w:w="140" w:type="dxa"/>
              <w:bottom w:w="100" w:type="dxa"/>
              <w:right w:w="140" w:type="dxa"/>
            </w:tcMar>
            <w:hideMark/>
          </w:tcPr>
          <w:p w14:paraId="78B3D74F"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b/>
                <w:bCs/>
                <w:color w:val="1A1A1A"/>
                <w:sz w:val="20"/>
                <w:szCs w:val="20"/>
              </w:rPr>
              <w:t>Son parte del producto</w:t>
            </w:r>
          </w:p>
        </w:tc>
      </w:tr>
    </w:tbl>
    <w:p w14:paraId="14B1B638" w14:textId="77777777" w:rsidR="005664FB" w:rsidRDefault="005664FB">
      <w:pPr>
        <w:shd w:val="clear" w:color="auto" w:fill="F2F5FA"/>
        <w:divId w:val="1981039110"/>
        <w:rPr>
          <w:rFonts w:ascii="Calibri" w:eastAsia="Times New Roman" w:hAnsi="Calibri" w:cs="Calibri"/>
          <w:color w:val="1A1A1A"/>
          <w:sz w:val="22"/>
          <w:szCs w:val="22"/>
        </w:rPr>
      </w:pPr>
      <w:r>
        <w:rPr>
          <w:rFonts w:ascii="Calibri" w:eastAsia="Times New Roman" w:hAnsi="Calibri" w:cs="Calibri"/>
          <w:b/>
          <w:bCs/>
          <w:color w:val="1A1A1A"/>
          <w:sz w:val="22"/>
          <w:szCs w:val="22"/>
        </w:rPr>
        <w:t>Buena parte de las adaptaciones no consume horas de desarrollo.</w:t>
      </w:r>
      <w:r>
        <w:rPr>
          <w:rFonts w:ascii="Calibri" w:eastAsia="Times New Roman" w:hAnsi="Calibri" w:cs="Calibri"/>
          <w:color w:val="1A1A1A"/>
          <w:sz w:val="22"/>
          <w:szCs w:val="22"/>
        </w:rPr>
        <w:t xml:space="preserve"> El módulo está construido para configurarse, no para reprogramarse: conceptos, fórmulas, parámetros con vigencia, fuentes de datos y atributos se definen desde la propia aplicación. Un concepto nuevo, un cambio de convenio o un dato adicional que deba intervenir en el cálculo son tareas de configuración, no de programación. Eso hace que la bolsa mensual rinda bastante más de lo que rendiría en un esquema donde cada cambio exige intervención técnica. </w:t>
      </w:r>
    </w:p>
    <w:p w14:paraId="00A84988" w14:textId="77777777" w:rsidR="005664FB" w:rsidRDefault="005664FB">
      <w:pPr>
        <w:pStyle w:val="Ttulo2"/>
        <w:rPr>
          <w:rFonts w:ascii="Calibri" w:eastAsia="Times New Roman" w:hAnsi="Calibri" w:cs="Calibri"/>
        </w:rPr>
      </w:pPr>
      <w:r>
        <w:rPr>
          <w:rFonts w:ascii="Calibri" w:eastAsia="Times New Roman" w:hAnsi="Calibri" w:cs="Calibri"/>
        </w:rPr>
        <w:t>5. Alcance comparado</w:t>
      </w:r>
    </w:p>
    <w:tbl>
      <w:tblPr>
        <w:tblW w:w="5000" w:type="pct"/>
        <w:tblCellMar>
          <w:top w:w="15" w:type="dxa"/>
          <w:left w:w="15" w:type="dxa"/>
          <w:bottom w:w="15" w:type="dxa"/>
          <w:right w:w="15" w:type="dxa"/>
        </w:tblCellMar>
        <w:tblLook w:val="04A0" w:firstRow="1" w:lastRow="0" w:firstColumn="1" w:lastColumn="0" w:noHBand="0" w:noVBand="1"/>
      </w:tblPr>
      <w:tblGrid>
        <w:gridCol w:w="3572"/>
        <w:gridCol w:w="2466"/>
        <w:gridCol w:w="2466"/>
      </w:tblGrid>
      <w:tr w:rsidR="005D680B" w14:paraId="7B84CB66" w14:textId="77777777">
        <w:tc>
          <w:tcPr>
            <w:tcW w:w="2100" w:type="pct"/>
            <w:shd w:val="clear" w:color="auto" w:fill="1F3864"/>
            <w:tcMar>
              <w:top w:w="100" w:type="dxa"/>
              <w:left w:w="140" w:type="dxa"/>
              <w:bottom w:w="100" w:type="dxa"/>
              <w:right w:w="140" w:type="dxa"/>
            </w:tcMar>
            <w:vAlign w:val="center"/>
            <w:hideMark/>
          </w:tcPr>
          <w:p w14:paraId="531988F3"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Aspecto</w:t>
            </w:r>
          </w:p>
        </w:tc>
        <w:tc>
          <w:tcPr>
            <w:tcW w:w="1450" w:type="pct"/>
            <w:shd w:val="clear" w:color="auto" w:fill="1F3864"/>
            <w:tcMar>
              <w:top w:w="100" w:type="dxa"/>
              <w:left w:w="140" w:type="dxa"/>
              <w:bottom w:w="100" w:type="dxa"/>
              <w:right w:w="140" w:type="dxa"/>
            </w:tcMar>
            <w:vAlign w:val="center"/>
            <w:hideMark/>
          </w:tcPr>
          <w:p w14:paraId="15A7A201"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Este módulo</w:t>
            </w:r>
          </w:p>
        </w:tc>
        <w:tc>
          <w:tcPr>
            <w:tcW w:w="1450" w:type="pct"/>
            <w:shd w:val="clear" w:color="auto" w:fill="1F3864"/>
            <w:tcMar>
              <w:top w:w="100" w:type="dxa"/>
              <w:left w:w="140" w:type="dxa"/>
              <w:bottom w:w="100" w:type="dxa"/>
              <w:right w:w="140" w:type="dxa"/>
            </w:tcMar>
            <w:vAlign w:val="center"/>
            <w:hideMark/>
          </w:tcPr>
          <w:p w14:paraId="5AFEC97E"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 xml:space="preserve">Plataforma </w:t>
            </w:r>
            <w:proofErr w:type="spellStart"/>
            <w:r>
              <w:rPr>
                <w:rFonts w:ascii="Calibri" w:eastAsia="Times New Roman" w:hAnsi="Calibri" w:cs="Calibri"/>
                <w:b/>
                <w:bCs/>
                <w:color w:val="FFFFFF"/>
                <w:sz w:val="20"/>
                <w:szCs w:val="20"/>
              </w:rPr>
              <w:t>cloud</w:t>
            </w:r>
            <w:proofErr w:type="spellEnd"/>
            <w:r>
              <w:rPr>
                <w:rFonts w:ascii="Calibri" w:eastAsia="Times New Roman" w:hAnsi="Calibri" w:cs="Calibri"/>
                <w:b/>
                <w:bCs/>
                <w:color w:val="FFFFFF"/>
                <w:sz w:val="20"/>
                <w:szCs w:val="20"/>
              </w:rPr>
              <w:t xml:space="preserve"> generalista</w:t>
            </w:r>
          </w:p>
        </w:tc>
      </w:tr>
      <w:tr w:rsidR="005D680B" w14:paraId="125AB2CB" w14:textId="77777777">
        <w:tc>
          <w:tcPr>
            <w:tcW w:w="0" w:type="auto"/>
            <w:tcBorders>
              <w:bottom w:val="single" w:sz="4" w:space="0" w:color="BFBFBF"/>
            </w:tcBorders>
            <w:tcMar>
              <w:top w:w="100" w:type="dxa"/>
              <w:left w:w="140" w:type="dxa"/>
              <w:bottom w:w="100" w:type="dxa"/>
              <w:right w:w="140" w:type="dxa"/>
            </w:tcMar>
            <w:hideMark/>
          </w:tcPr>
          <w:p w14:paraId="307C0616"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Liquidación por marea, producción y coeficientes</w:t>
            </w:r>
          </w:p>
        </w:tc>
        <w:tc>
          <w:tcPr>
            <w:tcW w:w="0" w:type="auto"/>
            <w:tcBorders>
              <w:bottom w:val="single" w:sz="4" w:space="0" w:color="BFBFBF"/>
            </w:tcBorders>
            <w:tcMar>
              <w:top w:w="100" w:type="dxa"/>
              <w:left w:w="140" w:type="dxa"/>
              <w:bottom w:w="100" w:type="dxa"/>
              <w:right w:w="140" w:type="dxa"/>
            </w:tcMar>
            <w:hideMark/>
          </w:tcPr>
          <w:p w14:paraId="2102418D"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Nativo</w:t>
            </w:r>
          </w:p>
        </w:tc>
        <w:tc>
          <w:tcPr>
            <w:tcW w:w="0" w:type="auto"/>
            <w:tcBorders>
              <w:bottom w:val="single" w:sz="4" w:space="0" w:color="BFBFBF"/>
            </w:tcBorders>
            <w:tcMar>
              <w:top w:w="100" w:type="dxa"/>
              <w:left w:w="140" w:type="dxa"/>
              <w:bottom w:w="100" w:type="dxa"/>
              <w:right w:w="140" w:type="dxa"/>
            </w:tcMar>
            <w:hideMark/>
          </w:tcPr>
          <w:p w14:paraId="6E99839B"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Desarrollo adicional</w:t>
            </w:r>
          </w:p>
        </w:tc>
      </w:tr>
      <w:tr w:rsidR="005D680B" w14:paraId="46587290" w14:textId="77777777">
        <w:tc>
          <w:tcPr>
            <w:tcW w:w="0" w:type="auto"/>
            <w:tcBorders>
              <w:bottom w:val="single" w:sz="4" w:space="0" w:color="BFBFBF"/>
            </w:tcBorders>
            <w:tcMar>
              <w:top w:w="100" w:type="dxa"/>
              <w:left w:w="140" w:type="dxa"/>
              <w:bottom w:w="100" w:type="dxa"/>
              <w:right w:w="140" w:type="dxa"/>
            </w:tcMar>
            <w:hideMark/>
          </w:tcPr>
          <w:p w14:paraId="3C89D55C"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Francos FIFO valuados por categoría de lote</w:t>
            </w:r>
          </w:p>
        </w:tc>
        <w:tc>
          <w:tcPr>
            <w:tcW w:w="0" w:type="auto"/>
            <w:tcBorders>
              <w:bottom w:val="single" w:sz="4" w:space="0" w:color="BFBFBF"/>
            </w:tcBorders>
            <w:tcMar>
              <w:top w:w="100" w:type="dxa"/>
              <w:left w:w="140" w:type="dxa"/>
              <w:bottom w:w="100" w:type="dxa"/>
              <w:right w:w="140" w:type="dxa"/>
            </w:tcMar>
            <w:hideMark/>
          </w:tcPr>
          <w:p w14:paraId="0ECB0C6E"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Nativo</w:t>
            </w:r>
          </w:p>
        </w:tc>
        <w:tc>
          <w:tcPr>
            <w:tcW w:w="0" w:type="auto"/>
            <w:tcBorders>
              <w:bottom w:val="single" w:sz="4" w:space="0" w:color="BFBFBF"/>
            </w:tcBorders>
            <w:tcMar>
              <w:top w:w="100" w:type="dxa"/>
              <w:left w:w="140" w:type="dxa"/>
              <w:bottom w:w="100" w:type="dxa"/>
              <w:right w:w="140" w:type="dxa"/>
            </w:tcMar>
            <w:hideMark/>
          </w:tcPr>
          <w:p w14:paraId="1EA8A1EB"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Desarrollo adicional</w:t>
            </w:r>
          </w:p>
        </w:tc>
      </w:tr>
      <w:tr w:rsidR="005D680B" w14:paraId="13C1B3A1" w14:textId="77777777">
        <w:tc>
          <w:tcPr>
            <w:tcW w:w="0" w:type="auto"/>
            <w:tcBorders>
              <w:bottom w:val="single" w:sz="4" w:space="0" w:color="BFBFBF"/>
            </w:tcBorders>
            <w:tcMar>
              <w:top w:w="100" w:type="dxa"/>
              <w:left w:w="140" w:type="dxa"/>
              <w:bottom w:w="100" w:type="dxa"/>
              <w:right w:w="140" w:type="dxa"/>
            </w:tcMar>
            <w:hideMark/>
          </w:tcPr>
          <w:p w14:paraId="4A2FCF03"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Reproducibilidad de un cálculo histórico</w:t>
            </w:r>
          </w:p>
        </w:tc>
        <w:tc>
          <w:tcPr>
            <w:tcW w:w="0" w:type="auto"/>
            <w:tcBorders>
              <w:bottom w:val="single" w:sz="4" w:space="0" w:color="BFBFBF"/>
            </w:tcBorders>
            <w:tcMar>
              <w:top w:w="100" w:type="dxa"/>
              <w:left w:w="140" w:type="dxa"/>
              <w:bottom w:w="100" w:type="dxa"/>
              <w:right w:w="140" w:type="dxa"/>
            </w:tcMar>
            <w:hideMark/>
          </w:tcPr>
          <w:p w14:paraId="2725719F"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Sellado por línea</w:t>
            </w:r>
          </w:p>
        </w:tc>
        <w:tc>
          <w:tcPr>
            <w:tcW w:w="0" w:type="auto"/>
            <w:tcBorders>
              <w:bottom w:val="single" w:sz="4" w:space="0" w:color="BFBFBF"/>
            </w:tcBorders>
            <w:tcMar>
              <w:top w:w="100" w:type="dxa"/>
              <w:left w:w="140" w:type="dxa"/>
              <w:bottom w:w="100" w:type="dxa"/>
              <w:right w:w="140" w:type="dxa"/>
            </w:tcMar>
            <w:hideMark/>
          </w:tcPr>
          <w:p w14:paraId="628497D5"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Según producto</w:t>
            </w:r>
          </w:p>
        </w:tc>
      </w:tr>
      <w:tr w:rsidR="005D680B" w14:paraId="40988910" w14:textId="77777777">
        <w:tc>
          <w:tcPr>
            <w:tcW w:w="0" w:type="auto"/>
            <w:tcBorders>
              <w:bottom w:val="single" w:sz="4" w:space="0" w:color="BFBFBF"/>
            </w:tcBorders>
            <w:tcMar>
              <w:top w:w="100" w:type="dxa"/>
              <w:left w:w="140" w:type="dxa"/>
              <w:bottom w:w="100" w:type="dxa"/>
              <w:right w:w="140" w:type="dxa"/>
            </w:tcMar>
            <w:hideMark/>
          </w:tcPr>
          <w:p w14:paraId="0914D486"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Costo por empleado activo</w:t>
            </w:r>
          </w:p>
        </w:tc>
        <w:tc>
          <w:tcPr>
            <w:tcW w:w="0" w:type="auto"/>
            <w:tcBorders>
              <w:bottom w:val="single" w:sz="4" w:space="0" w:color="BFBFBF"/>
            </w:tcBorders>
            <w:tcMar>
              <w:top w:w="100" w:type="dxa"/>
              <w:left w:w="140" w:type="dxa"/>
              <w:bottom w:w="100" w:type="dxa"/>
              <w:right w:w="140" w:type="dxa"/>
            </w:tcMar>
            <w:hideMark/>
          </w:tcPr>
          <w:p w14:paraId="7F29D285"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No aplica</w:t>
            </w:r>
          </w:p>
        </w:tc>
        <w:tc>
          <w:tcPr>
            <w:tcW w:w="0" w:type="auto"/>
            <w:tcBorders>
              <w:bottom w:val="single" w:sz="4" w:space="0" w:color="BFBFBF"/>
            </w:tcBorders>
            <w:tcMar>
              <w:top w:w="100" w:type="dxa"/>
              <w:left w:w="140" w:type="dxa"/>
              <w:bottom w:w="100" w:type="dxa"/>
              <w:right w:w="140" w:type="dxa"/>
            </w:tcMar>
            <w:hideMark/>
          </w:tcPr>
          <w:p w14:paraId="027E4137"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Mensual, escala con la dotación</w:t>
            </w:r>
          </w:p>
        </w:tc>
      </w:tr>
      <w:tr w:rsidR="005D680B" w14:paraId="20861916" w14:textId="77777777">
        <w:tc>
          <w:tcPr>
            <w:tcW w:w="0" w:type="auto"/>
            <w:tcBorders>
              <w:bottom w:val="single" w:sz="4" w:space="0" w:color="BFBFBF"/>
            </w:tcBorders>
            <w:tcMar>
              <w:top w:w="100" w:type="dxa"/>
              <w:left w:w="140" w:type="dxa"/>
              <w:bottom w:w="100" w:type="dxa"/>
              <w:right w:w="140" w:type="dxa"/>
            </w:tcMar>
            <w:hideMark/>
          </w:tcPr>
          <w:p w14:paraId="36CEF97E"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Modelo</w:t>
            </w:r>
          </w:p>
        </w:tc>
        <w:tc>
          <w:tcPr>
            <w:tcW w:w="0" w:type="auto"/>
            <w:tcBorders>
              <w:bottom w:val="single" w:sz="4" w:space="0" w:color="BFBFBF"/>
            </w:tcBorders>
            <w:tcMar>
              <w:top w:w="100" w:type="dxa"/>
              <w:left w:w="140" w:type="dxa"/>
              <w:bottom w:w="100" w:type="dxa"/>
              <w:right w:w="140" w:type="dxa"/>
            </w:tcMar>
            <w:hideMark/>
          </w:tcPr>
          <w:p w14:paraId="3D46169D"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Licencia sobre ERP propio</w:t>
            </w:r>
          </w:p>
        </w:tc>
        <w:tc>
          <w:tcPr>
            <w:tcW w:w="0" w:type="auto"/>
            <w:tcBorders>
              <w:bottom w:val="single" w:sz="4" w:space="0" w:color="BFBFBF"/>
            </w:tcBorders>
            <w:tcMar>
              <w:top w:w="100" w:type="dxa"/>
              <w:left w:w="140" w:type="dxa"/>
              <w:bottom w:w="100" w:type="dxa"/>
              <w:right w:w="140" w:type="dxa"/>
            </w:tcMar>
            <w:hideMark/>
          </w:tcPr>
          <w:p w14:paraId="44DE5595"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Suscripción, contrato a 36 meses</w:t>
            </w:r>
          </w:p>
        </w:tc>
      </w:tr>
      <w:tr w:rsidR="005D680B" w14:paraId="379DE1FC" w14:textId="77777777">
        <w:tc>
          <w:tcPr>
            <w:tcW w:w="0" w:type="auto"/>
            <w:tcBorders>
              <w:bottom w:val="single" w:sz="4" w:space="0" w:color="BFBFBF"/>
            </w:tcBorders>
            <w:tcMar>
              <w:top w:w="100" w:type="dxa"/>
              <w:left w:w="140" w:type="dxa"/>
              <w:bottom w:w="100" w:type="dxa"/>
              <w:right w:w="140" w:type="dxa"/>
            </w:tcMar>
            <w:hideMark/>
          </w:tcPr>
          <w:p w14:paraId="537D204E"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Actualizaciones normativas</w:t>
            </w:r>
          </w:p>
        </w:tc>
        <w:tc>
          <w:tcPr>
            <w:tcW w:w="0" w:type="auto"/>
            <w:tcBorders>
              <w:bottom w:val="single" w:sz="4" w:space="0" w:color="BFBFBF"/>
            </w:tcBorders>
            <w:tcMar>
              <w:top w:w="100" w:type="dxa"/>
              <w:left w:w="140" w:type="dxa"/>
              <w:bottom w:w="100" w:type="dxa"/>
              <w:right w:w="140" w:type="dxa"/>
            </w:tcMar>
            <w:hideMark/>
          </w:tcPr>
          <w:p w14:paraId="024D3CD6"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Incluidas</w:t>
            </w:r>
          </w:p>
        </w:tc>
        <w:tc>
          <w:tcPr>
            <w:tcW w:w="0" w:type="auto"/>
            <w:tcBorders>
              <w:bottom w:val="single" w:sz="4" w:space="0" w:color="BFBFBF"/>
            </w:tcBorders>
            <w:tcMar>
              <w:top w:w="100" w:type="dxa"/>
              <w:left w:w="140" w:type="dxa"/>
              <w:bottom w:w="100" w:type="dxa"/>
              <w:right w:w="140" w:type="dxa"/>
            </w:tcMar>
            <w:hideMark/>
          </w:tcPr>
          <w:p w14:paraId="682391D1"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Incluidas</w:t>
            </w:r>
          </w:p>
        </w:tc>
      </w:tr>
      <w:tr w:rsidR="005D680B" w14:paraId="6B14906B" w14:textId="77777777">
        <w:tc>
          <w:tcPr>
            <w:tcW w:w="0" w:type="auto"/>
            <w:tcBorders>
              <w:bottom w:val="single" w:sz="4" w:space="0" w:color="BFBFBF"/>
            </w:tcBorders>
            <w:tcMar>
              <w:top w:w="100" w:type="dxa"/>
              <w:left w:w="140" w:type="dxa"/>
              <w:bottom w:w="100" w:type="dxa"/>
              <w:right w:w="140" w:type="dxa"/>
            </w:tcMar>
            <w:hideMark/>
          </w:tcPr>
          <w:p w14:paraId="1AE9FE4F"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 xml:space="preserve">Firma digital, </w:t>
            </w:r>
            <w:proofErr w:type="spellStart"/>
            <w:r>
              <w:rPr>
                <w:rFonts w:ascii="Calibri" w:eastAsia="Times New Roman" w:hAnsi="Calibri" w:cs="Calibri"/>
                <w:color w:val="1A1A1A"/>
                <w:sz w:val="20"/>
                <w:szCs w:val="20"/>
              </w:rPr>
              <w:t>onboarding</w:t>
            </w:r>
            <w:proofErr w:type="spellEnd"/>
            <w:r>
              <w:rPr>
                <w:rFonts w:ascii="Calibri" w:eastAsia="Times New Roman" w:hAnsi="Calibri" w:cs="Calibri"/>
                <w:color w:val="1A1A1A"/>
                <w:sz w:val="20"/>
                <w:szCs w:val="20"/>
              </w:rPr>
              <w:t>, legajo digital</w:t>
            </w:r>
          </w:p>
        </w:tc>
        <w:tc>
          <w:tcPr>
            <w:tcW w:w="0" w:type="auto"/>
            <w:tcBorders>
              <w:bottom w:val="single" w:sz="4" w:space="0" w:color="BFBFBF"/>
            </w:tcBorders>
            <w:tcMar>
              <w:top w:w="100" w:type="dxa"/>
              <w:left w:w="140" w:type="dxa"/>
              <w:bottom w:w="100" w:type="dxa"/>
              <w:right w:w="140" w:type="dxa"/>
            </w:tcMar>
            <w:hideMark/>
          </w:tcPr>
          <w:p w14:paraId="1DCDE289"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Fuera de alcance</w:t>
            </w:r>
          </w:p>
        </w:tc>
        <w:tc>
          <w:tcPr>
            <w:tcW w:w="0" w:type="auto"/>
            <w:tcBorders>
              <w:bottom w:val="single" w:sz="4" w:space="0" w:color="BFBFBF"/>
            </w:tcBorders>
            <w:tcMar>
              <w:top w:w="100" w:type="dxa"/>
              <w:left w:w="140" w:type="dxa"/>
              <w:bottom w:w="100" w:type="dxa"/>
              <w:right w:w="140" w:type="dxa"/>
            </w:tcMar>
            <w:hideMark/>
          </w:tcPr>
          <w:p w14:paraId="7E786055"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Incluidos</w:t>
            </w:r>
          </w:p>
        </w:tc>
      </w:tr>
    </w:tbl>
    <w:p w14:paraId="0EF5364F" w14:textId="77777777" w:rsidR="005664FB" w:rsidRDefault="005664FB">
      <w:pPr>
        <w:shd w:val="clear" w:color="auto" w:fill="FBF0F0"/>
        <w:divId w:val="1018507022"/>
        <w:rPr>
          <w:rFonts w:ascii="Calibri" w:eastAsia="Times New Roman" w:hAnsi="Calibri" w:cs="Calibri"/>
          <w:color w:val="1A1A1A"/>
          <w:sz w:val="22"/>
          <w:szCs w:val="22"/>
        </w:rPr>
      </w:pPr>
      <w:r>
        <w:rPr>
          <w:rFonts w:ascii="Calibri" w:eastAsia="Times New Roman" w:hAnsi="Calibri" w:cs="Calibri"/>
          <w:b/>
          <w:bCs/>
          <w:color w:val="1A1A1A"/>
          <w:sz w:val="22"/>
          <w:szCs w:val="22"/>
        </w:rPr>
        <w:t>Alcance no cubierto por este módulo.</w:t>
      </w:r>
      <w:r>
        <w:rPr>
          <w:rFonts w:ascii="Calibri" w:eastAsia="Times New Roman" w:hAnsi="Calibri" w:cs="Calibri"/>
          <w:color w:val="1A1A1A"/>
          <w:sz w:val="22"/>
          <w:szCs w:val="22"/>
        </w:rPr>
        <w:t xml:space="preserve"> Resuelve la liquidación de haberes. No incluye gestión documental, firma digital, </w:t>
      </w:r>
      <w:proofErr w:type="spellStart"/>
      <w:r>
        <w:rPr>
          <w:rFonts w:ascii="Calibri" w:eastAsia="Times New Roman" w:hAnsi="Calibri" w:cs="Calibri"/>
          <w:color w:val="1A1A1A"/>
          <w:sz w:val="22"/>
          <w:szCs w:val="22"/>
        </w:rPr>
        <w:t>onboarding</w:t>
      </w:r>
      <w:proofErr w:type="spellEnd"/>
      <w:r>
        <w:rPr>
          <w:rFonts w:ascii="Calibri" w:eastAsia="Times New Roman" w:hAnsi="Calibri" w:cs="Calibri"/>
          <w:color w:val="1A1A1A"/>
          <w:sz w:val="22"/>
          <w:szCs w:val="22"/>
        </w:rPr>
        <w:t xml:space="preserve"> ni legajo digital, que la alternativa </w:t>
      </w:r>
      <w:proofErr w:type="spellStart"/>
      <w:r>
        <w:rPr>
          <w:rFonts w:ascii="Calibri" w:eastAsia="Times New Roman" w:hAnsi="Calibri" w:cs="Calibri"/>
          <w:color w:val="1A1A1A"/>
          <w:sz w:val="22"/>
          <w:szCs w:val="22"/>
        </w:rPr>
        <w:t>cloud</w:t>
      </w:r>
      <w:proofErr w:type="spellEnd"/>
      <w:r>
        <w:rPr>
          <w:rFonts w:ascii="Calibri" w:eastAsia="Times New Roman" w:hAnsi="Calibri" w:cs="Calibri"/>
          <w:color w:val="1A1A1A"/>
          <w:sz w:val="22"/>
          <w:szCs w:val="22"/>
        </w:rPr>
        <w:t xml:space="preserve"> sí ofrece bonificados. Si esas funciones son un requisito, corresponde evaluarlas por separado — pueden incorporarse por etapas o cubrirse con una herramienta específica, sin afectar la liquidación. </w:t>
      </w:r>
    </w:p>
    <w:p w14:paraId="70313BA7" w14:textId="77777777" w:rsidR="005664FB" w:rsidRDefault="005664FB">
      <w:pPr>
        <w:pStyle w:val="Ttulo3"/>
        <w:rPr>
          <w:rFonts w:ascii="Calibri" w:eastAsia="Times New Roman" w:hAnsi="Calibri" w:cs="Calibri"/>
        </w:rPr>
      </w:pPr>
      <w:r>
        <w:rPr>
          <w:rFonts w:ascii="Calibri" w:eastAsia="Times New Roman" w:hAnsi="Calibri" w:cs="Calibri"/>
        </w:rPr>
        <w:t xml:space="preserve">5.1 Lo que la alternativa </w:t>
      </w:r>
      <w:proofErr w:type="spellStart"/>
      <w:r>
        <w:rPr>
          <w:rFonts w:ascii="Calibri" w:eastAsia="Times New Roman" w:hAnsi="Calibri" w:cs="Calibri"/>
        </w:rPr>
        <w:t>cloud</w:t>
      </w:r>
      <w:proofErr w:type="spellEnd"/>
      <w:r>
        <w:rPr>
          <w:rFonts w:ascii="Calibri" w:eastAsia="Times New Roman" w:hAnsi="Calibri" w:cs="Calibri"/>
        </w:rPr>
        <w:t xml:space="preserve"> excluye de su alcance</w:t>
      </w:r>
    </w:p>
    <w:p w14:paraId="2BCA7665"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t>La documentación pública de alcance de la plataforma enumera, entre las exclusiones del proyecto de implementación:</w:t>
      </w:r>
    </w:p>
    <w:tbl>
      <w:tblPr>
        <w:tblW w:w="5000" w:type="pct"/>
        <w:tblCellMar>
          <w:top w:w="15" w:type="dxa"/>
          <w:left w:w="15" w:type="dxa"/>
          <w:bottom w:w="15" w:type="dxa"/>
          <w:right w:w="15" w:type="dxa"/>
        </w:tblCellMar>
        <w:tblLook w:val="04A0" w:firstRow="1" w:lastRow="0" w:firstColumn="1" w:lastColumn="0" w:noHBand="0" w:noVBand="1"/>
      </w:tblPr>
      <w:tblGrid>
        <w:gridCol w:w="3232"/>
        <w:gridCol w:w="5272"/>
      </w:tblGrid>
      <w:tr w:rsidR="005D680B" w14:paraId="6BA7C627" w14:textId="77777777">
        <w:tc>
          <w:tcPr>
            <w:tcW w:w="1900" w:type="pct"/>
            <w:shd w:val="clear" w:color="auto" w:fill="1F3864"/>
            <w:tcMar>
              <w:top w:w="100" w:type="dxa"/>
              <w:left w:w="140" w:type="dxa"/>
              <w:bottom w:w="100" w:type="dxa"/>
              <w:right w:w="140" w:type="dxa"/>
            </w:tcMar>
            <w:vAlign w:val="center"/>
            <w:hideMark/>
          </w:tcPr>
          <w:p w14:paraId="112CDCEE"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Exclusión declarada</w:t>
            </w:r>
          </w:p>
        </w:tc>
        <w:tc>
          <w:tcPr>
            <w:tcW w:w="3100" w:type="pct"/>
            <w:shd w:val="clear" w:color="auto" w:fill="1F3864"/>
            <w:tcMar>
              <w:top w:w="100" w:type="dxa"/>
              <w:left w:w="140" w:type="dxa"/>
              <w:bottom w:w="100" w:type="dxa"/>
              <w:right w:w="140" w:type="dxa"/>
            </w:tcMar>
            <w:vAlign w:val="center"/>
            <w:hideMark/>
          </w:tcPr>
          <w:p w14:paraId="012460F2"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implica para esta operación</w:t>
            </w:r>
          </w:p>
        </w:tc>
      </w:tr>
      <w:tr w:rsidR="005D680B" w14:paraId="53512E00" w14:textId="77777777">
        <w:tc>
          <w:tcPr>
            <w:tcW w:w="0" w:type="auto"/>
            <w:tcBorders>
              <w:bottom w:val="single" w:sz="4" w:space="0" w:color="BFBFBF"/>
            </w:tcBorders>
            <w:tcMar>
              <w:top w:w="100" w:type="dxa"/>
              <w:left w:w="140" w:type="dxa"/>
              <w:bottom w:w="100" w:type="dxa"/>
              <w:right w:w="140" w:type="dxa"/>
            </w:tcMar>
            <w:hideMark/>
          </w:tcPr>
          <w:p w14:paraId="1E69C6C0"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b/>
                <w:bCs/>
                <w:color w:val="1A1A1A"/>
                <w:sz w:val="20"/>
                <w:szCs w:val="20"/>
              </w:rPr>
              <w:t>Customizaciones que requieran código</w:t>
            </w:r>
          </w:p>
        </w:tc>
        <w:tc>
          <w:tcPr>
            <w:tcW w:w="0" w:type="auto"/>
            <w:tcBorders>
              <w:bottom w:val="single" w:sz="4" w:space="0" w:color="BFBFBF"/>
            </w:tcBorders>
            <w:tcMar>
              <w:top w:w="100" w:type="dxa"/>
              <w:left w:w="140" w:type="dxa"/>
              <w:bottom w:w="100" w:type="dxa"/>
              <w:right w:w="140" w:type="dxa"/>
            </w:tcMar>
            <w:hideMark/>
          </w:tcPr>
          <w:p w14:paraId="5AFA6713"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 xml:space="preserve">La liquidación por marea, los francos valuados por categoría de lote y los coeficientes de producción no son parametrización. Al quedar fuera del alcance, </w:t>
            </w:r>
            <w:r>
              <w:rPr>
                <w:rFonts w:ascii="Calibri" w:eastAsia="Times New Roman" w:hAnsi="Calibri" w:cs="Calibri"/>
                <w:b/>
                <w:bCs/>
                <w:color w:val="1A1A1A"/>
                <w:sz w:val="20"/>
                <w:szCs w:val="20"/>
              </w:rPr>
              <w:t>no se resuelven con horas de consultoría</w:t>
            </w:r>
            <w:r>
              <w:rPr>
                <w:rFonts w:ascii="Calibri" w:eastAsia="Times New Roman" w:hAnsi="Calibri" w:cs="Calibri"/>
                <w:color w:val="1A1A1A"/>
                <w:sz w:val="20"/>
                <w:szCs w:val="20"/>
              </w:rPr>
              <w:t>: requieren un acuerdo aparte, si el proveedor lo acepta.</w:t>
            </w:r>
          </w:p>
        </w:tc>
      </w:tr>
      <w:tr w:rsidR="005D680B" w14:paraId="0D493C77" w14:textId="77777777">
        <w:tc>
          <w:tcPr>
            <w:tcW w:w="0" w:type="auto"/>
            <w:tcBorders>
              <w:bottom w:val="single" w:sz="4" w:space="0" w:color="BFBFBF"/>
            </w:tcBorders>
            <w:tcMar>
              <w:top w:w="100" w:type="dxa"/>
              <w:left w:w="140" w:type="dxa"/>
              <w:bottom w:w="100" w:type="dxa"/>
              <w:right w:w="140" w:type="dxa"/>
            </w:tcMar>
            <w:hideMark/>
          </w:tcPr>
          <w:p w14:paraId="6C5E97A1"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b/>
                <w:bCs/>
                <w:color w:val="1A1A1A"/>
                <w:sz w:val="20"/>
                <w:szCs w:val="20"/>
              </w:rPr>
              <w:t>Integraciones externas</w:t>
            </w:r>
          </w:p>
        </w:tc>
        <w:tc>
          <w:tcPr>
            <w:tcW w:w="0" w:type="auto"/>
            <w:tcBorders>
              <w:bottom w:val="single" w:sz="4" w:space="0" w:color="BFBFBF"/>
            </w:tcBorders>
            <w:tcMar>
              <w:top w:w="100" w:type="dxa"/>
              <w:left w:w="140" w:type="dxa"/>
              <w:bottom w:w="100" w:type="dxa"/>
              <w:right w:w="140" w:type="dxa"/>
            </w:tcMar>
            <w:hideMark/>
          </w:tcPr>
          <w:p w14:paraId="03EBEF55"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La interfaz con el ERP —asiento contable, empleados, proyectos, costo por marea— queda a cargo del cliente y no está cuantificada en la propuesta.</w:t>
            </w:r>
          </w:p>
        </w:tc>
      </w:tr>
      <w:tr w:rsidR="005D680B" w14:paraId="6DCED1B8" w14:textId="77777777">
        <w:tc>
          <w:tcPr>
            <w:tcW w:w="0" w:type="auto"/>
            <w:tcBorders>
              <w:bottom w:val="single" w:sz="4" w:space="0" w:color="BFBFBF"/>
            </w:tcBorders>
            <w:tcMar>
              <w:top w:w="100" w:type="dxa"/>
              <w:left w:w="140" w:type="dxa"/>
              <w:bottom w:w="100" w:type="dxa"/>
              <w:right w:w="140" w:type="dxa"/>
            </w:tcMar>
            <w:hideMark/>
          </w:tcPr>
          <w:p w14:paraId="4DA157A1"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b/>
                <w:bCs/>
                <w:color w:val="1A1A1A"/>
                <w:sz w:val="20"/>
                <w:szCs w:val="20"/>
              </w:rPr>
              <w:t>Historial de migraciones</w:t>
            </w:r>
          </w:p>
        </w:tc>
        <w:tc>
          <w:tcPr>
            <w:tcW w:w="0" w:type="auto"/>
            <w:tcBorders>
              <w:bottom w:val="single" w:sz="4" w:space="0" w:color="BFBFBF"/>
            </w:tcBorders>
            <w:tcMar>
              <w:top w:w="100" w:type="dxa"/>
              <w:left w:w="140" w:type="dxa"/>
              <w:bottom w:w="100" w:type="dxa"/>
              <w:right w:w="140" w:type="dxa"/>
            </w:tcMar>
            <w:hideMark/>
          </w:tcPr>
          <w:p w14:paraId="41AB9062"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Las liquidaciones anteriores no se migran. La consulta del histórico exige mantener el sistema actual en paralelo o resignarla.</w:t>
            </w:r>
          </w:p>
        </w:tc>
      </w:tr>
      <w:tr w:rsidR="005D680B" w14:paraId="45895DCB" w14:textId="77777777">
        <w:tc>
          <w:tcPr>
            <w:tcW w:w="0" w:type="auto"/>
            <w:tcBorders>
              <w:bottom w:val="single" w:sz="4" w:space="0" w:color="BFBFBF"/>
            </w:tcBorders>
            <w:tcMar>
              <w:top w:w="100" w:type="dxa"/>
              <w:left w:w="140" w:type="dxa"/>
              <w:bottom w:w="100" w:type="dxa"/>
              <w:right w:w="140" w:type="dxa"/>
            </w:tcMar>
            <w:hideMark/>
          </w:tcPr>
          <w:p w14:paraId="3250830B"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b/>
                <w:bCs/>
                <w:color w:val="1A1A1A"/>
                <w:sz w:val="20"/>
                <w:szCs w:val="20"/>
              </w:rPr>
              <w:t>Configuraciones de tablas adicionales</w:t>
            </w:r>
          </w:p>
        </w:tc>
        <w:tc>
          <w:tcPr>
            <w:tcW w:w="0" w:type="auto"/>
            <w:tcBorders>
              <w:bottom w:val="single" w:sz="4" w:space="0" w:color="BFBFBF"/>
            </w:tcBorders>
            <w:tcMar>
              <w:top w:w="100" w:type="dxa"/>
              <w:left w:w="140" w:type="dxa"/>
              <w:bottom w:w="100" w:type="dxa"/>
              <w:right w:w="140" w:type="dxa"/>
            </w:tcMar>
            <w:hideMark/>
          </w:tcPr>
          <w:p w14:paraId="55C018EF"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Solo se configura lo previsto en las plantillas estándar. Toda tabla propia de la actividad queda fuera.</w:t>
            </w:r>
          </w:p>
        </w:tc>
      </w:tr>
      <w:tr w:rsidR="005D680B" w14:paraId="7AAE9BBD" w14:textId="77777777">
        <w:tc>
          <w:tcPr>
            <w:tcW w:w="0" w:type="auto"/>
            <w:tcBorders>
              <w:bottom w:val="single" w:sz="4" w:space="0" w:color="BFBFBF"/>
            </w:tcBorders>
            <w:tcMar>
              <w:top w:w="100" w:type="dxa"/>
              <w:left w:w="140" w:type="dxa"/>
              <w:bottom w:w="100" w:type="dxa"/>
              <w:right w:w="140" w:type="dxa"/>
            </w:tcMar>
            <w:hideMark/>
          </w:tcPr>
          <w:p w14:paraId="41E00DD6"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 xml:space="preserve">Carga inicial </w:t>
            </w:r>
            <w:r>
              <w:rPr>
                <w:rFonts w:ascii="Calibri" w:eastAsia="Times New Roman" w:hAnsi="Calibri" w:cs="Calibri"/>
                <w:b/>
                <w:bCs/>
                <w:color w:val="1A1A1A"/>
                <w:sz w:val="20"/>
                <w:szCs w:val="20"/>
              </w:rPr>
              <w:t>por plantillas estándar</w:t>
            </w:r>
          </w:p>
        </w:tc>
        <w:tc>
          <w:tcPr>
            <w:tcW w:w="0" w:type="auto"/>
            <w:tcBorders>
              <w:bottom w:val="single" w:sz="4" w:space="0" w:color="BFBFBF"/>
            </w:tcBorders>
            <w:tcMar>
              <w:top w:w="100" w:type="dxa"/>
              <w:left w:w="140" w:type="dxa"/>
              <w:bottom w:w="100" w:type="dxa"/>
              <w:right w:w="140" w:type="dxa"/>
            </w:tcMar>
            <w:hideMark/>
          </w:tcPr>
          <w:p w14:paraId="4B7FA375"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Los datos que no encajen en esas plantillas —escalas por convenio y categoría, saldos de francos, producción por marea— requieren tratamiento aparte.</w:t>
            </w:r>
          </w:p>
        </w:tc>
      </w:tr>
      <w:tr w:rsidR="005D680B" w14:paraId="107AC08D" w14:textId="77777777">
        <w:tc>
          <w:tcPr>
            <w:tcW w:w="0" w:type="auto"/>
            <w:tcBorders>
              <w:bottom w:val="single" w:sz="4" w:space="0" w:color="BFBFBF"/>
            </w:tcBorders>
            <w:tcMar>
              <w:top w:w="100" w:type="dxa"/>
              <w:left w:w="140" w:type="dxa"/>
              <w:bottom w:w="100" w:type="dxa"/>
              <w:right w:w="140" w:type="dxa"/>
            </w:tcMar>
            <w:hideMark/>
          </w:tcPr>
          <w:p w14:paraId="17999281"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 xml:space="preserve">Capacitación </w:t>
            </w:r>
            <w:r>
              <w:rPr>
                <w:rFonts w:ascii="Calibri" w:eastAsia="Times New Roman" w:hAnsi="Calibri" w:cs="Calibri"/>
                <w:b/>
                <w:bCs/>
                <w:color w:val="1A1A1A"/>
                <w:sz w:val="20"/>
                <w:szCs w:val="20"/>
              </w:rPr>
              <w:t>de capacitadores</w:t>
            </w:r>
          </w:p>
        </w:tc>
        <w:tc>
          <w:tcPr>
            <w:tcW w:w="0" w:type="auto"/>
            <w:tcBorders>
              <w:bottom w:val="single" w:sz="4" w:space="0" w:color="BFBFBF"/>
            </w:tcBorders>
            <w:tcMar>
              <w:top w:w="100" w:type="dxa"/>
              <w:left w:w="140" w:type="dxa"/>
              <w:bottom w:w="100" w:type="dxa"/>
              <w:right w:w="140" w:type="dxa"/>
            </w:tcMar>
            <w:hideMark/>
          </w:tcPr>
          <w:p w14:paraId="7996279E"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La formación al usuario final queda a cargo del cliente.</w:t>
            </w:r>
          </w:p>
        </w:tc>
      </w:tr>
    </w:tbl>
    <w:p w14:paraId="5039A748" w14:textId="77777777" w:rsidR="005664FB" w:rsidRDefault="005664FB">
      <w:pPr>
        <w:shd w:val="clear" w:color="auto" w:fill="FBF0F0"/>
        <w:spacing w:before="200" w:after="200"/>
        <w:divId w:val="432671257"/>
        <w:rPr>
          <w:rFonts w:ascii="Calibri" w:eastAsia="Times New Roman" w:hAnsi="Calibri" w:cs="Calibri"/>
          <w:color w:val="1A1A1A"/>
          <w:sz w:val="22"/>
          <w:szCs w:val="22"/>
        </w:rPr>
      </w:pPr>
      <w:r>
        <w:rPr>
          <w:rFonts w:ascii="Calibri" w:eastAsia="Times New Roman" w:hAnsi="Calibri" w:cs="Calibri"/>
          <w:b/>
          <w:bCs/>
          <w:color w:val="1A1A1A"/>
          <w:sz w:val="22"/>
          <w:szCs w:val="22"/>
        </w:rPr>
        <w:lastRenderedPageBreak/>
        <w:t>La distinción importa más que el precio.</w:t>
      </w:r>
      <w:r>
        <w:rPr>
          <w:rFonts w:ascii="Calibri" w:eastAsia="Times New Roman" w:hAnsi="Calibri" w:cs="Calibri"/>
          <w:color w:val="1A1A1A"/>
          <w:sz w:val="22"/>
          <w:szCs w:val="22"/>
        </w:rPr>
        <w:t xml:space="preserve"> Una hora de consultoría cubre configurar lo que la plataforma ya sabe hacer. Lo que necesita código está </w:t>
      </w:r>
      <w:r>
        <w:rPr>
          <w:rFonts w:ascii="Calibri" w:eastAsia="Times New Roman" w:hAnsi="Calibri" w:cs="Calibri"/>
          <w:b/>
          <w:bCs/>
          <w:color w:val="1A1A1A"/>
          <w:sz w:val="22"/>
          <w:szCs w:val="22"/>
        </w:rPr>
        <w:t>fuera del alcance</w:t>
      </w:r>
      <w:r>
        <w:rPr>
          <w:rFonts w:ascii="Calibri" w:eastAsia="Times New Roman" w:hAnsi="Calibri" w:cs="Calibri"/>
          <w:color w:val="1A1A1A"/>
          <w:sz w:val="22"/>
          <w:szCs w:val="22"/>
        </w:rPr>
        <w:t xml:space="preserve">, no arancelado: no es que cueste USD 60 por hora, es que no forma parte de lo contratado. Las particularidades de la liquidación pesquera caen en esa categoría. </w:t>
      </w:r>
    </w:p>
    <w:p w14:paraId="4ED348A0" w14:textId="77777777" w:rsidR="005664FB" w:rsidRDefault="005664FB">
      <w:pPr>
        <w:pStyle w:val="small"/>
        <w:spacing w:after="100" w:afterAutospacing="1"/>
        <w:rPr>
          <w:rFonts w:ascii="Calibri" w:hAnsi="Calibri" w:cs="Calibri"/>
        </w:rPr>
      </w:pPr>
      <w:r>
        <w:rPr>
          <w:rFonts w:ascii="Calibri" w:hAnsi="Calibri" w:cs="Calibri"/>
        </w:rPr>
        <w:t>Fuente: documentación de alcance e implementación publicada por el proveedor, referida en su propia propuesta.</w:t>
      </w:r>
    </w:p>
    <w:p w14:paraId="1A96094E" w14:textId="77777777" w:rsidR="005664FB" w:rsidRDefault="005664FB">
      <w:pPr>
        <w:pStyle w:val="Ttulo2"/>
        <w:rPr>
          <w:rFonts w:ascii="Calibri" w:eastAsia="Times New Roman" w:hAnsi="Calibri" w:cs="Calibri"/>
        </w:rPr>
      </w:pPr>
      <w:r>
        <w:rPr>
          <w:rFonts w:ascii="Calibri" w:eastAsia="Times New Roman" w:hAnsi="Calibri" w:cs="Calibri"/>
        </w:rPr>
        <w:t>6. Modelo comercial</w:t>
      </w:r>
    </w:p>
    <w:p w14:paraId="08EFAD63"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t>Se ofrecen dos modalidades. Ambas incluyen exactamente el mismo alcance funcional, la misma implementación y el mismo nivel de servicio; cambia únicamente cómo se paga.</w:t>
      </w:r>
    </w:p>
    <w:p w14:paraId="6DDB5D58" w14:textId="77777777" w:rsidR="005664FB" w:rsidRDefault="005664FB">
      <w:pPr>
        <w:pStyle w:val="Ttulo3"/>
        <w:rPr>
          <w:rFonts w:ascii="Calibri" w:eastAsia="Times New Roman" w:hAnsi="Calibri" w:cs="Calibri"/>
        </w:rPr>
      </w:pPr>
      <w:r>
        <w:rPr>
          <w:rFonts w:ascii="Calibri" w:eastAsia="Times New Roman" w:hAnsi="Calibri" w:cs="Calibri"/>
        </w:rPr>
        <w:t xml:space="preserve">Opción A — Abono integral con horas incluidas </w:t>
      </w:r>
      <w:r>
        <w:rPr>
          <w:rStyle w:val="small1"/>
          <w:rFonts w:ascii="Calibri" w:eastAsia="Times New Roman" w:hAnsi="Calibri" w:cs="Calibri"/>
        </w:rPr>
        <w:t>(recomendada)</w:t>
      </w:r>
    </w:p>
    <w:p w14:paraId="1398E385" w14:textId="77777777" w:rsidR="005664FB" w:rsidRDefault="005664FB">
      <w:pPr>
        <w:shd w:val="clear" w:color="auto" w:fill="F2F5FA"/>
        <w:divId w:val="2127311012"/>
        <w:rPr>
          <w:rFonts w:ascii="Calibri" w:eastAsia="Times New Roman" w:hAnsi="Calibri" w:cs="Calibri"/>
          <w:color w:val="1A1A1A"/>
          <w:sz w:val="22"/>
          <w:szCs w:val="22"/>
        </w:rPr>
      </w:pPr>
      <w:r>
        <w:rPr>
          <w:rFonts w:ascii="Calibri" w:eastAsia="Times New Roman" w:hAnsi="Calibri" w:cs="Calibri"/>
          <w:b/>
          <w:bCs/>
          <w:color w:val="1A1A1A"/>
          <w:sz w:val="22"/>
          <w:szCs w:val="22"/>
        </w:rPr>
        <w:t>Sin pago inicial. Sin costo de implementación por separado. Un único abono mensual que incluye la bolsa de horas de adaptación.</w:t>
      </w:r>
      <w:r>
        <w:rPr>
          <w:rFonts w:ascii="Calibri" w:eastAsia="Times New Roman" w:hAnsi="Calibri" w:cs="Calibri"/>
          <w:color w:val="1A1A1A"/>
          <w:sz w:val="22"/>
          <w:szCs w:val="22"/>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4932"/>
        <w:gridCol w:w="1786"/>
        <w:gridCol w:w="1786"/>
      </w:tblGrid>
      <w:tr w:rsidR="005D680B" w14:paraId="1303AE34" w14:textId="77777777">
        <w:tc>
          <w:tcPr>
            <w:tcW w:w="2900" w:type="pct"/>
            <w:shd w:val="clear" w:color="auto" w:fill="1F3864"/>
            <w:tcMar>
              <w:top w:w="100" w:type="dxa"/>
              <w:left w:w="140" w:type="dxa"/>
              <w:bottom w:w="100" w:type="dxa"/>
              <w:right w:w="140" w:type="dxa"/>
            </w:tcMar>
            <w:vAlign w:val="center"/>
            <w:hideMark/>
          </w:tcPr>
          <w:p w14:paraId="6B5D242E"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Concepto</w:t>
            </w:r>
          </w:p>
        </w:tc>
        <w:tc>
          <w:tcPr>
            <w:tcW w:w="1050" w:type="pct"/>
            <w:shd w:val="clear" w:color="auto" w:fill="1F3864"/>
            <w:tcMar>
              <w:top w:w="100" w:type="dxa"/>
              <w:left w:w="140" w:type="dxa"/>
              <w:bottom w:w="100" w:type="dxa"/>
              <w:right w:w="140" w:type="dxa"/>
            </w:tcMar>
            <w:vAlign w:val="center"/>
            <w:hideMark/>
          </w:tcPr>
          <w:p w14:paraId="6F41E1C2"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Incluye</w:t>
            </w:r>
          </w:p>
        </w:tc>
        <w:tc>
          <w:tcPr>
            <w:tcW w:w="1050" w:type="pct"/>
            <w:shd w:val="clear" w:color="auto" w:fill="1F3864"/>
            <w:tcMar>
              <w:top w:w="100" w:type="dxa"/>
              <w:left w:w="140" w:type="dxa"/>
              <w:bottom w:w="100" w:type="dxa"/>
              <w:right w:w="140" w:type="dxa"/>
            </w:tcMar>
            <w:vAlign w:val="center"/>
            <w:hideMark/>
          </w:tcPr>
          <w:p w14:paraId="4D7EC2CA"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Importe mensual</w:t>
            </w:r>
          </w:p>
        </w:tc>
      </w:tr>
      <w:tr w:rsidR="005D680B" w14:paraId="7475E48D" w14:textId="77777777">
        <w:tc>
          <w:tcPr>
            <w:tcW w:w="0" w:type="auto"/>
            <w:tcBorders>
              <w:bottom w:val="single" w:sz="4" w:space="0" w:color="BFBFBF"/>
            </w:tcBorders>
            <w:tcMar>
              <w:top w:w="100" w:type="dxa"/>
              <w:left w:w="140" w:type="dxa"/>
              <w:bottom w:w="100" w:type="dxa"/>
              <w:right w:w="140" w:type="dxa"/>
            </w:tcMar>
            <w:hideMark/>
          </w:tcPr>
          <w:p w14:paraId="0F3ECD2C"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 xml:space="preserve">Abono integral — uso del módulo, implementación, soporte, actualizaciones normativas, nuevas versiones </w:t>
            </w:r>
            <w:r>
              <w:rPr>
                <w:rFonts w:ascii="Calibri" w:eastAsia="Times New Roman" w:hAnsi="Calibri" w:cs="Calibri"/>
                <w:b/>
                <w:bCs/>
                <w:color w:val="1A1A1A"/>
                <w:sz w:val="20"/>
                <w:szCs w:val="20"/>
              </w:rPr>
              <w:t>y adaptaciones al negocio</w:t>
            </w:r>
          </w:p>
        </w:tc>
        <w:tc>
          <w:tcPr>
            <w:tcW w:w="0" w:type="auto"/>
            <w:tcBorders>
              <w:bottom w:val="single" w:sz="4" w:space="0" w:color="BFBFBF"/>
            </w:tcBorders>
            <w:tcMar>
              <w:top w:w="100" w:type="dxa"/>
              <w:left w:w="140" w:type="dxa"/>
              <w:bottom w:w="100" w:type="dxa"/>
              <w:right w:w="140" w:type="dxa"/>
            </w:tcMar>
            <w:hideMark/>
          </w:tcPr>
          <w:p w14:paraId="7751C103"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b/>
                <w:bCs/>
                <w:color w:val="1A1A1A"/>
                <w:sz w:val="20"/>
                <w:szCs w:val="20"/>
              </w:rPr>
              <w:t>10 horas /mes</w:t>
            </w:r>
          </w:p>
        </w:tc>
        <w:tc>
          <w:tcPr>
            <w:tcW w:w="0" w:type="auto"/>
            <w:tcBorders>
              <w:bottom w:val="single" w:sz="4" w:space="0" w:color="BFBFBF"/>
            </w:tcBorders>
            <w:noWrap/>
            <w:tcMar>
              <w:top w:w="100" w:type="dxa"/>
              <w:left w:w="140" w:type="dxa"/>
              <w:bottom w:w="100" w:type="dxa"/>
              <w:right w:w="140" w:type="dxa"/>
            </w:tcMar>
            <w:hideMark/>
          </w:tcPr>
          <w:p w14:paraId="16667A7E"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b/>
                <w:bCs/>
                <w:color w:val="1A1A1A"/>
                <w:sz w:val="20"/>
                <w:szCs w:val="20"/>
              </w:rPr>
              <w:t>USD 1.800</w:t>
            </w:r>
          </w:p>
        </w:tc>
      </w:tr>
      <w:tr w:rsidR="005D680B" w14:paraId="1A8F6473" w14:textId="77777777">
        <w:tc>
          <w:tcPr>
            <w:tcW w:w="0" w:type="auto"/>
            <w:tcBorders>
              <w:bottom w:val="single" w:sz="4" w:space="0" w:color="BFBFBF"/>
            </w:tcBorders>
            <w:tcMar>
              <w:top w:w="100" w:type="dxa"/>
              <w:left w:w="140" w:type="dxa"/>
              <w:bottom w:w="100" w:type="dxa"/>
              <w:right w:w="140" w:type="dxa"/>
            </w:tcMar>
            <w:hideMark/>
          </w:tcPr>
          <w:p w14:paraId="69CDD893"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Hora adicional, por encima de la bolsa mensual</w:t>
            </w:r>
          </w:p>
        </w:tc>
        <w:tc>
          <w:tcPr>
            <w:tcW w:w="0" w:type="auto"/>
            <w:tcBorders>
              <w:bottom w:val="single" w:sz="4" w:space="0" w:color="BFBFBF"/>
            </w:tcBorders>
            <w:tcMar>
              <w:top w:w="100" w:type="dxa"/>
              <w:left w:w="140" w:type="dxa"/>
              <w:bottom w:w="100" w:type="dxa"/>
              <w:right w:w="140" w:type="dxa"/>
            </w:tcMar>
            <w:hideMark/>
          </w:tcPr>
          <w:p w14:paraId="18FA7A36"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bottom w:val="single" w:sz="4" w:space="0" w:color="BFBFBF"/>
            </w:tcBorders>
            <w:noWrap/>
            <w:tcMar>
              <w:top w:w="100" w:type="dxa"/>
              <w:left w:w="140" w:type="dxa"/>
              <w:bottom w:w="100" w:type="dxa"/>
              <w:right w:w="140" w:type="dxa"/>
            </w:tcMar>
            <w:hideMark/>
          </w:tcPr>
          <w:p w14:paraId="5C2F384A"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 xml:space="preserve">USD </w:t>
            </w:r>
            <w:r>
              <w:rPr>
                <w:rStyle w:val="fill1"/>
                <w:rFonts w:ascii="Calibri" w:eastAsia="Times New Roman" w:hAnsi="Calibri" w:cs="Calibri"/>
                <w:sz w:val="20"/>
                <w:szCs w:val="20"/>
              </w:rPr>
              <w:t>45</w:t>
            </w:r>
            <w:r>
              <w:rPr>
                <w:rFonts w:ascii="Calibri" w:eastAsia="Times New Roman" w:hAnsi="Calibri" w:cs="Calibri"/>
                <w:color w:val="1A1A1A"/>
                <w:sz w:val="20"/>
                <w:szCs w:val="20"/>
              </w:rPr>
              <w:t xml:space="preserve"> /h</w:t>
            </w:r>
          </w:p>
        </w:tc>
      </w:tr>
      <w:tr w:rsidR="005D680B" w14:paraId="55A86343" w14:textId="77777777">
        <w:tc>
          <w:tcPr>
            <w:tcW w:w="0" w:type="auto"/>
            <w:tcBorders>
              <w:top w:val="single" w:sz="8" w:space="0" w:color="1F3864"/>
              <w:bottom w:val="single" w:sz="4" w:space="0" w:color="BFBFBF"/>
            </w:tcBorders>
            <w:shd w:val="clear" w:color="auto" w:fill="DEEAF6"/>
            <w:tcMar>
              <w:top w:w="100" w:type="dxa"/>
              <w:left w:w="140" w:type="dxa"/>
              <w:bottom w:w="100" w:type="dxa"/>
              <w:right w:w="140" w:type="dxa"/>
            </w:tcMar>
            <w:hideMark/>
          </w:tcPr>
          <w:p w14:paraId="0A0D4308" w14:textId="77777777" w:rsidR="005664FB" w:rsidRDefault="005664FB">
            <w:pPr>
              <w:spacing w:before="160" w:after="240"/>
              <w:rPr>
                <w:rFonts w:ascii="Calibri" w:eastAsia="Times New Roman" w:hAnsi="Calibri" w:cs="Calibri"/>
                <w:b/>
                <w:bCs/>
                <w:color w:val="1A1A1A"/>
                <w:sz w:val="20"/>
                <w:szCs w:val="20"/>
              </w:rPr>
            </w:pPr>
            <w:r>
              <w:rPr>
                <w:rFonts w:ascii="Calibri" w:eastAsia="Times New Roman" w:hAnsi="Calibri" w:cs="Calibri"/>
                <w:b/>
                <w:bCs/>
                <w:color w:val="1A1A1A"/>
                <w:sz w:val="20"/>
                <w:szCs w:val="20"/>
              </w:rPr>
              <w:t>Desembolso inicial</w:t>
            </w:r>
          </w:p>
        </w:tc>
        <w:tc>
          <w:tcPr>
            <w:tcW w:w="0" w:type="auto"/>
            <w:tcBorders>
              <w:top w:val="single" w:sz="8" w:space="0" w:color="1F3864"/>
              <w:bottom w:val="single" w:sz="4" w:space="0" w:color="BFBFBF"/>
            </w:tcBorders>
            <w:shd w:val="clear" w:color="auto" w:fill="DEEAF6"/>
            <w:tcMar>
              <w:top w:w="100" w:type="dxa"/>
              <w:left w:w="140" w:type="dxa"/>
              <w:bottom w:w="100" w:type="dxa"/>
              <w:right w:w="140" w:type="dxa"/>
            </w:tcMar>
            <w:hideMark/>
          </w:tcPr>
          <w:p w14:paraId="39D146AC" w14:textId="77777777" w:rsidR="005664FB" w:rsidRDefault="005664FB">
            <w:pPr>
              <w:spacing w:before="160" w:after="240"/>
              <w:rPr>
                <w:rFonts w:ascii="Calibri" w:eastAsia="Times New Roman" w:hAnsi="Calibri" w:cs="Calibri"/>
                <w:b/>
                <w:bCs/>
                <w:color w:val="1A1A1A"/>
                <w:sz w:val="20"/>
                <w:szCs w:val="20"/>
              </w:rPr>
            </w:pPr>
            <w:r>
              <w:rPr>
                <w:rFonts w:ascii="Calibri" w:eastAsia="Times New Roman" w:hAnsi="Calibri" w:cs="Calibri"/>
                <w:b/>
                <w:bCs/>
                <w:color w:val="1A1A1A"/>
                <w:sz w:val="20"/>
                <w:szCs w:val="20"/>
              </w:rPr>
              <w:t> </w:t>
            </w:r>
          </w:p>
        </w:tc>
        <w:tc>
          <w:tcPr>
            <w:tcW w:w="0" w:type="auto"/>
            <w:tcBorders>
              <w:top w:val="single" w:sz="8" w:space="0" w:color="1F3864"/>
              <w:bottom w:val="single" w:sz="4" w:space="0" w:color="BFBFBF"/>
            </w:tcBorders>
            <w:shd w:val="clear" w:color="auto" w:fill="DEEAF6"/>
            <w:noWrap/>
            <w:tcMar>
              <w:top w:w="100" w:type="dxa"/>
              <w:left w:w="140" w:type="dxa"/>
              <w:bottom w:w="100" w:type="dxa"/>
              <w:right w:w="140" w:type="dxa"/>
            </w:tcMar>
            <w:hideMark/>
          </w:tcPr>
          <w:p w14:paraId="2C911A3D" w14:textId="77777777" w:rsidR="005664FB" w:rsidRDefault="005664FB">
            <w:pPr>
              <w:spacing w:before="160" w:after="240"/>
              <w:jc w:val="right"/>
              <w:rPr>
                <w:rFonts w:ascii="Calibri" w:eastAsia="Times New Roman" w:hAnsi="Calibri" w:cs="Calibri"/>
                <w:b/>
                <w:bCs/>
                <w:color w:val="1A1A1A"/>
                <w:sz w:val="20"/>
                <w:szCs w:val="20"/>
              </w:rPr>
            </w:pPr>
            <w:r>
              <w:rPr>
                <w:rFonts w:ascii="Calibri" w:eastAsia="Times New Roman" w:hAnsi="Calibri" w:cs="Calibri"/>
                <w:b/>
                <w:bCs/>
                <w:color w:val="1A1A1A"/>
                <w:sz w:val="20"/>
                <w:szCs w:val="20"/>
              </w:rPr>
              <w:t>USD 0</w:t>
            </w:r>
          </w:p>
        </w:tc>
      </w:tr>
    </w:tbl>
    <w:p w14:paraId="37F4D7A8" w14:textId="77777777" w:rsidR="005664FB" w:rsidRDefault="005664FB">
      <w:pPr>
        <w:pStyle w:val="small"/>
        <w:spacing w:after="100" w:afterAutospacing="1"/>
        <w:rPr>
          <w:rFonts w:ascii="Calibri" w:hAnsi="Calibri" w:cs="Calibri"/>
        </w:rPr>
      </w:pPr>
      <w:r>
        <w:rPr>
          <w:rFonts w:ascii="Calibri" w:hAnsi="Calibri" w:cs="Calibri"/>
        </w:rPr>
        <w:t>Plazo mínimo de 36 meses. La implementación se absorbe en el abono, por lo que una interrupción anticipada devenga el saldo no amortizado de la puesta en marcha. Las horas no consumidas se acumulan dentro del mismo año contractual.</w:t>
      </w:r>
    </w:p>
    <w:p w14:paraId="47022B76" w14:textId="77777777" w:rsidR="005664FB" w:rsidRDefault="005664FB">
      <w:pPr>
        <w:shd w:val="clear" w:color="auto" w:fill="F2F5FA"/>
        <w:spacing w:before="200" w:after="200"/>
        <w:divId w:val="1756047537"/>
        <w:rPr>
          <w:rFonts w:ascii="Calibri" w:eastAsia="Times New Roman" w:hAnsi="Calibri" w:cs="Calibri"/>
          <w:color w:val="1A1A1A"/>
          <w:sz w:val="22"/>
          <w:szCs w:val="22"/>
        </w:rPr>
      </w:pPr>
      <w:r>
        <w:rPr>
          <w:rFonts w:ascii="Calibri" w:eastAsia="Times New Roman" w:hAnsi="Calibri" w:cs="Calibri"/>
          <w:b/>
          <w:bCs/>
          <w:color w:val="1A1A1A"/>
          <w:sz w:val="22"/>
          <w:szCs w:val="22"/>
        </w:rPr>
        <w:t>Por qué el abono incluye horas y no se factura aparte.</w:t>
      </w:r>
      <w:r>
        <w:rPr>
          <w:rFonts w:ascii="Calibri" w:eastAsia="Times New Roman" w:hAnsi="Calibri" w:cs="Calibri"/>
          <w:color w:val="1A1A1A"/>
          <w:sz w:val="22"/>
          <w:szCs w:val="22"/>
        </w:rPr>
        <w:t xml:space="preserve"> La liquidación pesquera no se estabiliza: cambian los convenios, las modalidades de marea, los coeficientes de producción y las formas de valuar francos. Un esquema que factura cada ajuste por hora convierte esa realidad en un costo variable e imprevisible. Incluirlas en el abono la vuelve un costo fijo y presupuestable. </w:t>
      </w:r>
    </w:p>
    <w:p w14:paraId="394A2921" w14:textId="77777777" w:rsidR="005664FB" w:rsidRDefault="005664FB">
      <w:pPr>
        <w:pStyle w:val="Ttulo3"/>
        <w:rPr>
          <w:rFonts w:ascii="Calibri" w:eastAsia="Times New Roman" w:hAnsi="Calibri" w:cs="Calibri"/>
        </w:rPr>
      </w:pPr>
      <w:r>
        <w:rPr>
          <w:rFonts w:ascii="Calibri" w:eastAsia="Times New Roman" w:hAnsi="Calibri" w:cs="Calibri"/>
        </w:rPr>
        <w:t>Opción B — Abono reducido, horas facturadas por separado</w:t>
      </w:r>
    </w:p>
    <w:p w14:paraId="6D18B9F7"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t>Para el caso de preferirse un abono mensual menor, asumiendo la variabilidad del costo de las adaptaciones:</w:t>
      </w:r>
    </w:p>
    <w:tbl>
      <w:tblPr>
        <w:tblW w:w="5000" w:type="pct"/>
        <w:tblCellMar>
          <w:top w:w="15" w:type="dxa"/>
          <w:left w:w="15" w:type="dxa"/>
          <w:bottom w:w="15" w:type="dxa"/>
          <w:right w:w="15" w:type="dxa"/>
        </w:tblCellMar>
        <w:tblLook w:val="04A0" w:firstRow="1" w:lastRow="0" w:firstColumn="1" w:lastColumn="0" w:noHBand="0" w:noVBand="1"/>
      </w:tblPr>
      <w:tblGrid>
        <w:gridCol w:w="4932"/>
        <w:gridCol w:w="1786"/>
        <w:gridCol w:w="1786"/>
      </w:tblGrid>
      <w:tr w:rsidR="005D680B" w14:paraId="2DC89ACB" w14:textId="77777777">
        <w:tc>
          <w:tcPr>
            <w:tcW w:w="2900" w:type="pct"/>
            <w:shd w:val="clear" w:color="auto" w:fill="1F3864"/>
            <w:tcMar>
              <w:top w:w="100" w:type="dxa"/>
              <w:left w:w="140" w:type="dxa"/>
              <w:bottom w:w="100" w:type="dxa"/>
              <w:right w:w="140" w:type="dxa"/>
            </w:tcMar>
            <w:vAlign w:val="center"/>
            <w:hideMark/>
          </w:tcPr>
          <w:p w14:paraId="68A336E8"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Concepto</w:t>
            </w:r>
          </w:p>
        </w:tc>
        <w:tc>
          <w:tcPr>
            <w:tcW w:w="1050" w:type="pct"/>
            <w:shd w:val="clear" w:color="auto" w:fill="1F3864"/>
            <w:tcMar>
              <w:top w:w="100" w:type="dxa"/>
              <w:left w:w="140" w:type="dxa"/>
              <w:bottom w:w="100" w:type="dxa"/>
              <w:right w:w="140" w:type="dxa"/>
            </w:tcMar>
            <w:vAlign w:val="center"/>
            <w:hideMark/>
          </w:tcPr>
          <w:p w14:paraId="587E5DFD"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Incluye</w:t>
            </w:r>
          </w:p>
        </w:tc>
        <w:tc>
          <w:tcPr>
            <w:tcW w:w="1050" w:type="pct"/>
            <w:shd w:val="clear" w:color="auto" w:fill="1F3864"/>
            <w:tcMar>
              <w:top w:w="100" w:type="dxa"/>
              <w:left w:w="140" w:type="dxa"/>
              <w:bottom w:w="100" w:type="dxa"/>
              <w:right w:w="140" w:type="dxa"/>
            </w:tcMar>
            <w:vAlign w:val="center"/>
            <w:hideMark/>
          </w:tcPr>
          <w:p w14:paraId="02E8887B"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Importe mensual</w:t>
            </w:r>
          </w:p>
        </w:tc>
      </w:tr>
      <w:tr w:rsidR="005D680B" w14:paraId="602F5985" w14:textId="77777777">
        <w:tc>
          <w:tcPr>
            <w:tcW w:w="0" w:type="auto"/>
            <w:tcBorders>
              <w:bottom w:val="single" w:sz="4" w:space="0" w:color="BFBFBF"/>
            </w:tcBorders>
            <w:tcMar>
              <w:top w:w="100" w:type="dxa"/>
              <w:left w:w="140" w:type="dxa"/>
              <w:bottom w:w="100" w:type="dxa"/>
              <w:right w:w="140" w:type="dxa"/>
            </w:tcMar>
            <w:hideMark/>
          </w:tcPr>
          <w:p w14:paraId="03E73BDD"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Abono — uso del módulo, implementación, soporte, actualizaciones normativas y nuevas versiones</w:t>
            </w:r>
          </w:p>
        </w:tc>
        <w:tc>
          <w:tcPr>
            <w:tcW w:w="0" w:type="auto"/>
            <w:tcBorders>
              <w:bottom w:val="single" w:sz="4" w:space="0" w:color="BFBFBF"/>
            </w:tcBorders>
            <w:tcMar>
              <w:top w:w="100" w:type="dxa"/>
              <w:left w:w="140" w:type="dxa"/>
              <w:bottom w:w="100" w:type="dxa"/>
              <w:right w:w="140" w:type="dxa"/>
            </w:tcMar>
            <w:hideMark/>
          </w:tcPr>
          <w:p w14:paraId="58F036CB"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Sin bolsa</w:t>
            </w:r>
          </w:p>
        </w:tc>
        <w:tc>
          <w:tcPr>
            <w:tcW w:w="0" w:type="auto"/>
            <w:tcBorders>
              <w:bottom w:val="single" w:sz="4" w:space="0" w:color="BFBFBF"/>
            </w:tcBorders>
            <w:noWrap/>
            <w:tcMar>
              <w:top w:w="100" w:type="dxa"/>
              <w:left w:w="140" w:type="dxa"/>
              <w:bottom w:w="100" w:type="dxa"/>
              <w:right w:w="140" w:type="dxa"/>
            </w:tcMar>
            <w:hideMark/>
          </w:tcPr>
          <w:p w14:paraId="1272FBB7"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1.300</w:t>
            </w:r>
          </w:p>
        </w:tc>
      </w:tr>
      <w:tr w:rsidR="005D680B" w14:paraId="276EF6BF" w14:textId="77777777">
        <w:tc>
          <w:tcPr>
            <w:tcW w:w="0" w:type="auto"/>
            <w:tcBorders>
              <w:bottom w:val="single" w:sz="4" w:space="0" w:color="BFBFBF"/>
            </w:tcBorders>
            <w:tcMar>
              <w:top w:w="100" w:type="dxa"/>
              <w:left w:w="140" w:type="dxa"/>
              <w:bottom w:w="100" w:type="dxa"/>
              <w:right w:w="140" w:type="dxa"/>
            </w:tcMar>
            <w:hideMark/>
          </w:tcPr>
          <w:p w14:paraId="138A2C72"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Hora de consultoría o desarrollo</w:t>
            </w:r>
          </w:p>
        </w:tc>
        <w:tc>
          <w:tcPr>
            <w:tcW w:w="0" w:type="auto"/>
            <w:tcBorders>
              <w:bottom w:val="single" w:sz="4" w:space="0" w:color="BFBFBF"/>
            </w:tcBorders>
            <w:tcMar>
              <w:top w:w="100" w:type="dxa"/>
              <w:left w:w="140" w:type="dxa"/>
              <w:bottom w:w="100" w:type="dxa"/>
              <w:right w:w="140" w:type="dxa"/>
            </w:tcMar>
            <w:hideMark/>
          </w:tcPr>
          <w:p w14:paraId="36D7BED2"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bottom w:val="single" w:sz="4" w:space="0" w:color="BFBFBF"/>
            </w:tcBorders>
            <w:noWrap/>
            <w:tcMar>
              <w:top w:w="100" w:type="dxa"/>
              <w:left w:w="140" w:type="dxa"/>
              <w:bottom w:w="100" w:type="dxa"/>
              <w:right w:w="140" w:type="dxa"/>
            </w:tcMar>
            <w:hideMark/>
          </w:tcPr>
          <w:p w14:paraId="0DC05AFB"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55 /h</w:t>
            </w:r>
          </w:p>
        </w:tc>
      </w:tr>
    </w:tbl>
    <w:p w14:paraId="66FCD3A1" w14:textId="77777777" w:rsidR="005664FB" w:rsidRDefault="005664FB">
      <w:pPr>
        <w:pStyle w:val="small"/>
        <w:spacing w:after="100" w:afterAutospacing="1"/>
        <w:rPr>
          <w:rFonts w:ascii="Calibri" w:hAnsi="Calibri" w:cs="Calibri"/>
        </w:rPr>
      </w:pPr>
      <w:r>
        <w:rPr>
          <w:rFonts w:ascii="Calibri" w:hAnsi="Calibri" w:cs="Calibri"/>
        </w:rPr>
        <w:t xml:space="preserve">La Opción A resulta más conveniente a partir de las </w:t>
      </w:r>
      <w:r>
        <w:rPr>
          <w:rFonts w:ascii="Calibri" w:hAnsi="Calibri" w:cs="Calibri"/>
          <w:b/>
          <w:bCs/>
        </w:rPr>
        <w:t>10 horas mensuales</w:t>
      </w:r>
      <w:r>
        <w:rPr>
          <w:rFonts w:ascii="Calibri" w:hAnsi="Calibri" w:cs="Calibri"/>
        </w:rPr>
        <w:t xml:space="preserve"> de uso promedio, y elimina la variabilidad del costo.</w:t>
      </w:r>
    </w:p>
    <w:p w14:paraId="0C4FA3F4" w14:textId="77777777" w:rsidR="005664FB" w:rsidRDefault="005664FB">
      <w:pPr>
        <w:pStyle w:val="Ttulo3"/>
        <w:rPr>
          <w:rFonts w:ascii="Calibri" w:eastAsia="Times New Roman" w:hAnsi="Calibri" w:cs="Calibri"/>
        </w:rPr>
      </w:pPr>
      <w:r>
        <w:rPr>
          <w:rFonts w:ascii="Calibri" w:eastAsia="Times New Roman" w:hAnsi="Calibri" w:cs="Calibri"/>
        </w:rPr>
        <w:t>Qué incluye el servicio, en ambas opciones</w:t>
      </w:r>
    </w:p>
    <w:p w14:paraId="665180A9" w14:textId="77777777" w:rsidR="005664FB" w:rsidRDefault="005664FB">
      <w:pPr>
        <w:numPr>
          <w:ilvl w:val="0"/>
          <w:numId w:val="6"/>
        </w:numPr>
        <w:spacing w:before="100" w:beforeAutospacing="1" w:after="60"/>
        <w:rPr>
          <w:rFonts w:ascii="Calibri" w:eastAsia="Times New Roman" w:hAnsi="Calibri" w:cs="Calibri"/>
          <w:color w:val="1A1A1A"/>
          <w:sz w:val="22"/>
          <w:szCs w:val="22"/>
        </w:rPr>
      </w:pPr>
      <w:proofErr w:type="spellStart"/>
      <w:r>
        <w:rPr>
          <w:rFonts w:ascii="Calibri" w:eastAsia="Times New Roman" w:hAnsi="Calibri" w:cs="Calibri"/>
          <w:color w:val="1A1A1A"/>
          <w:sz w:val="22"/>
          <w:szCs w:val="22"/>
        </w:rPr>
        <w:t>Co-parametrización</w:t>
      </w:r>
      <w:proofErr w:type="spellEnd"/>
      <w:r>
        <w:rPr>
          <w:rFonts w:ascii="Calibri" w:eastAsia="Times New Roman" w:hAnsi="Calibri" w:cs="Calibri"/>
          <w:color w:val="1A1A1A"/>
          <w:sz w:val="22"/>
          <w:szCs w:val="22"/>
        </w:rPr>
        <w:t xml:space="preserve"> de convenios, categorías, conceptos y acumuladores junto al equipo de Recursos Humanos.</w:t>
      </w:r>
    </w:p>
    <w:p w14:paraId="5FC1B600" w14:textId="77777777" w:rsidR="005664FB" w:rsidRDefault="005664FB">
      <w:pPr>
        <w:numPr>
          <w:ilvl w:val="0"/>
          <w:numId w:val="6"/>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Migración de datos e histórico, liquidación en paralelo y capacitación a usuarios.</w:t>
      </w:r>
    </w:p>
    <w:p w14:paraId="256FF957" w14:textId="77777777" w:rsidR="005664FB" w:rsidRDefault="005664FB">
      <w:pPr>
        <w:numPr>
          <w:ilvl w:val="0"/>
          <w:numId w:val="6"/>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Adaptación para todo cambio normativo que afecte el cálculo.</w:t>
      </w:r>
    </w:p>
    <w:p w14:paraId="1EA1257F" w14:textId="77777777" w:rsidR="005664FB" w:rsidRDefault="005664FB">
      <w:pPr>
        <w:numPr>
          <w:ilvl w:val="0"/>
          <w:numId w:val="6"/>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Nuevas versiones del módulo y corrección de defectos, sin cargo.</w:t>
      </w:r>
    </w:p>
    <w:p w14:paraId="27284EDB" w14:textId="77777777" w:rsidR="005664FB" w:rsidRDefault="005664FB">
      <w:pPr>
        <w:numPr>
          <w:ilvl w:val="0"/>
          <w:numId w:val="6"/>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Compatibilidad garantizada con las actualizaciones de Business Central.</w:t>
      </w:r>
    </w:p>
    <w:p w14:paraId="0172EF56" w14:textId="77777777" w:rsidR="005664FB" w:rsidRDefault="005664FB">
      <w:pPr>
        <w:pStyle w:val="small"/>
        <w:spacing w:after="100" w:afterAutospacing="1"/>
        <w:rPr>
          <w:rFonts w:ascii="Calibri" w:hAnsi="Calibri" w:cs="Calibri"/>
        </w:rPr>
      </w:pPr>
      <w:r>
        <w:rPr>
          <w:rFonts w:ascii="Calibri" w:hAnsi="Calibri" w:cs="Calibri"/>
        </w:rPr>
        <w:t>Ninguna de las dos modalidades tiene costo por empleado activo: la dotación puede crecer sin impacto en el precio.</w:t>
      </w:r>
    </w:p>
    <w:p w14:paraId="31545D95" w14:textId="77777777" w:rsidR="005664FB" w:rsidRDefault="005664FB">
      <w:pPr>
        <w:pStyle w:val="Ttulo2"/>
        <w:rPr>
          <w:rFonts w:ascii="Calibri" w:eastAsia="Times New Roman" w:hAnsi="Calibri" w:cs="Calibri"/>
        </w:rPr>
      </w:pPr>
      <w:r>
        <w:rPr>
          <w:rFonts w:ascii="Calibri" w:eastAsia="Times New Roman" w:hAnsi="Calibri" w:cs="Calibri"/>
        </w:rPr>
        <w:t>7. Costo comparado</w:t>
      </w:r>
    </w:p>
    <w:p w14:paraId="0C96DE79"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t>Base de 300 empleados activos, en dólares, sin impuestos.</w:t>
      </w:r>
    </w:p>
    <w:p w14:paraId="12E16F8F" w14:textId="77777777" w:rsidR="005664FB" w:rsidRDefault="005664FB">
      <w:pPr>
        <w:pStyle w:val="Ttulo3"/>
        <w:rPr>
          <w:rFonts w:ascii="Calibri" w:eastAsia="Times New Roman" w:hAnsi="Calibri" w:cs="Calibri"/>
        </w:rPr>
      </w:pPr>
      <w:r>
        <w:rPr>
          <w:rFonts w:ascii="Calibri" w:eastAsia="Times New Roman" w:hAnsi="Calibri" w:cs="Calibri"/>
        </w:rPr>
        <w:t>7.1 La puesta en marcha</w:t>
      </w:r>
    </w:p>
    <w:p w14:paraId="6D81877E" w14:textId="25615004" w:rsidR="005664FB" w:rsidRDefault="005664FB">
      <w:pPr>
        <w:pStyle w:val="NormalWeb"/>
        <w:rPr>
          <w:rFonts w:ascii="Calibri" w:hAnsi="Calibri" w:cs="Calibri"/>
          <w:color w:val="1A1A1A"/>
          <w:sz w:val="22"/>
          <w:szCs w:val="22"/>
        </w:rPr>
      </w:pPr>
      <w:r>
        <w:rPr>
          <w:rFonts w:ascii="Calibri" w:hAnsi="Calibri" w:cs="Calibri"/>
          <w:color w:val="1A1A1A"/>
          <w:sz w:val="22"/>
          <w:szCs w:val="22"/>
        </w:rPr>
        <w:t xml:space="preserve">La alternativa </w:t>
      </w:r>
      <w:proofErr w:type="spellStart"/>
      <w:r>
        <w:rPr>
          <w:rFonts w:ascii="Calibri" w:hAnsi="Calibri" w:cs="Calibri"/>
          <w:color w:val="1A1A1A"/>
          <w:sz w:val="22"/>
          <w:szCs w:val="22"/>
        </w:rPr>
        <w:t>cloud</w:t>
      </w:r>
      <w:proofErr w:type="spellEnd"/>
      <w:r>
        <w:rPr>
          <w:rFonts w:ascii="Calibri" w:hAnsi="Calibri" w:cs="Calibri"/>
          <w:color w:val="1A1A1A"/>
          <w:sz w:val="22"/>
          <w:szCs w:val="22"/>
        </w:rPr>
        <w:t xml:space="preserve"> concentra la implementación en 6 cuotas de USD 4.000 que </w:t>
      </w:r>
      <w:r>
        <w:rPr>
          <w:rFonts w:ascii="Calibri" w:hAnsi="Calibri" w:cs="Calibri"/>
          <w:b/>
          <w:bCs/>
          <w:color w:val="1A1A1A"/>
          <w:sz w:val="22"/>
          <w:szCs w:val="22"/>
        </w:rPr>
        <w:t>se suman</w:t>
      </w:r>
      <w:r>
        <w:rPr>
          <w:rFonts w:ascii="Calibri" w:hAnsi="Calibri" w:cs="Calibri"/>
          <w:color w:val="1A1A1A"/>
          <w:sz w:val="22"/>
          <w:szCs w:val="22"/>
        </w:rPr>
        <w:t xml:space="preserve"> </w:t>
      </w:r>
      <w:proofErr w:type="gramStart"/>
      <w:r>
        <w:rPr>
          <w:rFonts w:ascii="Calibri" w:hAnsi="Calibri" w:cs="Calibri"/>
          <w:color w:val="1A1A1A"/>
          <w:sz w:val="22"/>
          <w:szCs w:val="22"/>
        </w:rPr>
        <w:t xml:space="preserve">a la </w:t>
      </w:r>
      <w:r w:rsidR="00B17F31">
        <w:rPr>
          <w:rFonts w:ascii="Calibri" w:hAnsi="Calibri" w:cs="Calibri"/>
          <w:color w:val="1A1A1A"/>
          <w:sz w:val="22"/>
          <w:szCs w:val="22"/>
        </w:rPr>
        <w:t>a</w:t>
      </w:r>
      <w:r w:rsidR="00D10A5C">
        <w:rPr>
          <w:rFonts w:ascii="Calibri" w:hAnsi="Calibri" w:cs="Calibri"/>
          <w:color w:val="1A1A1A"/>
          <w:sz w:val="22"/>
          <w:szCs w:val="22"/>
        </w:rPr>
        <w:t>bono</w:t>
      </w:r>
      <w:r>
        <w:rPr>
          <w:rFonts w:ascii="Calibri" w:hAnsi="Calibri" w:cs="Calibri"/>
          <w:color w:val="1A1A1A"/>
          <w:sz w:val="22"/>
          <w:szCs w:val="22"/>
        </w:rPr>
        <w:t xml:space="preserve"> mensual</w:t>
      </w:r>
      <w:proofErr w:type="gramEnd"/>
      <w:r>
        <w:rPr>
          <w:rFonts w:ascii="Calibri" w:hAnsi="Calibri" w:cs="Calibri"/>
          <w:color w:val="1A1A1A"/>
          <w:sz w:val="22"/>
          <w:szCs w:val="22"/>
        </w:rPr>
        <w:t xml:space="preserve">. Durante ese período —que es también el plazo mínimo de implementación— el costo es de </w:t>
      </w:r>
      <w:r>
        <w:rPr>
          <w:rFonts w:ascii="Calibri" w:hAnsi="Calibri" w:cs="Calibri"/>
          <w:b/>
          <w:bCs/>
          <w:color w:val="1A1A1A"/>
          <w:sz w:val="22"/>
          <w:szCs w:val="22"/>
        </w:rPr>
        <w:t>USD 5.200 mensuales</w:t>
      </w:r>
      <w:r>
        <w:rPr>
          <w:rFonts w:ascii="Calibri" w:hAnsi="Calibri" w:cs="Calibri"/>
          <w:color w:val="1A1A1A"/>
          <w:sz w:val="22"/>
          <w:szCs w:val="22"/>
        </w:rPr>
        <w:t>, mientras el sistema todavía no está en producción y se sostiene el circuito actual en paralelo.</w:t>
      </w:r>
    </w:p>
    <w:tbl>
      <w:tblPr>
        <w:tblW w:w="5000" w:type="pct"/>
        <w:tblCellMar>
          <w:top w:w="15" w:type="dxa"/>
          <w:left w:w="15" w:type="dxa"/>
          <w:bottom w:w="15" w:type="dxa"/>
          <w:right w:w="15" w:type="dxa"/>
        </w:tblCellMar>
        <w:tblLook w:val="04A0" w:firstRow="1" w:lastRow="0" w:firstColumn="1" w:lastColumn="0" w:noHBand="0" w:noVBand="1"/>
      </w:tblPr>
      <w:tblGrid>
        <w:gridCol w:w="2891"/>
        <w:gridCol w:w="1871"/>
        <w:gridCol w:w="1871"/>
        <w:gridCol w:w="1871"/>
      </w:tblGrid>
      <w:tr w:rsidR="005D680B" w14:paraId="5D66DCE9" w14:textId="77777777">
        <w:tc>
          <w:tcPr>
            <w:tcW w:w="1700" w:type="pct"/>
            <w:shd w:val="clear" w:color="auto" w:fill="1F3864"/>
            <w:tcMar>
              <w:top w:w="100" w:type="dxa"/>
              <w:left w:w="140" w:type="dxa"/>
              <w:bottom w:w="100" w:type="dxa"/>
              <w:right w:w="140" w:type="dxa"/>
            </w:tcMar>
            <w:vAlign w:val="center"/>
            <w:hideMark/>
          </w:tcPr>
          <w:p w14:paraId="1D37DA5C"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 </w:t>
            </w:r>
          </w:p>
        </w:tc>
        <w:tc>
          <w:tcPr>
            <w:tcW w:w="1100" w:type="pct"/>
            <w:shd w:val="clear" w:color="auto" w:fill="1F3864"/>
            <w:tcMar>
              <w:top w:w="100" w:type="dxa"/>
              <w:left w:w="140" w:type="dxa"/>
              <w:bottom w:w="100" w:type="dxa"/>
              <w:right w:w="140" w:type="dxa"/>
            </w:tcMar>
            <w:vAlign w:val="center"/>
            <w:hideMark/>
          </w:tcPr>
          <w:p w14:paraId="02C0B4BF"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Meses 1 a 6</w:t>
            </w:r>
          </w:p>
        </w:tc>
        <w:tc>
          <w:tcPr>
            <w:tcW w:w="1100" w:type="pct"/>
            <w:shd w:val="clear" w:color="auto" w:fill="1F3864"/>
            <w:tcMar>
              <w:top w:w="100" w:type="dxa"/>
              <w:left w:w="140" w:type="dxa"/>
              <w:bottom w:w="100" w:type="dxa"/>
              <w:right w:w="140" w:type="dxa"/>
            </w:tcMar>
            <w:vAlign w:val="center"/>
            <w:hideMark/>
          </w:tcPr>
          <w:p w14:paraId="35E2B524"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Meses 7 a 12</w:t>
            </w:r>
          </w:p>
        </w:tc>
        <w:tc>
          <w:tcPr>
            <w:tcW w:w="1100" w:type="pct"/>
            <w:shd w:val="clear" w:color="auto" w:fill="1F3864"/>
            <w:tcMar>
              <w:top w:w="100" w:type="dxa"/>
              <w:left w:w="140" w:type="dxa"/>
              <w:bottom w:w="100" w:type="dxa"/>
              <w:right w:w="140" w:type="dxa"/>
            </w:tcMar>
            <w:vAlign w:val="center"/>
            <w:hideMark/>
          </w:tcPr>
          <w:p w14:paraId="554BF0EF" w14:textId="77777777" w:rsidR="005664FB" w:rsidRDefault="005664FB">
            <w:pPr>
              <w:spacing w:before="160" w:after="240"/>
              <w:rPr>
                <w:rFonts w:ascii="Calibri" w:eastAsia="Times New Roman" w:hAnsi="Calibri" w:cs="Calibri"/>
                <w:b/>
                <w:bCs/>
                <w:color w:val="FFFFFF"/>
                <w:sz w:val="20"/>
                <w:szCs w:val="20"/>
              </w:rPr>
            </w:pPr>
            <w:proofErr w:type="gramStart"/>
            <w:r>
              <w:rPr>
                <w:rFonts w:ascii="Calibri" w:eastAsia="Times New Roman" w:hAnsi="Calibri" w:cs="Calibri"/>
                <w:b/>
                <w:bCs/>
                <w:color w:val="FFFFFF"/>
                <w:sz w:val="20"/>
                <w:szCs w:val="20"/>
              </w:rPr>
              <w:t>Total</w:t>
            </w:r>
            <w:proofErr w:type="gramEnd"/>
            <w:r>
              <w:rPr>
                <w:rFonts w:ascii="Calibri" w:eastAsia="Times New Roman" w:hAnsi="Calibri" w:cs="Calibri"/>
                <w:b/>
                <w:bCs/>
                <w:color w:val="FFFFFF"/>
                <w:sz w:val="20"/>
                <w:szCs w:val="20"/>
              </w:rPr>
              <w:t xml:space="preserve"> año 1</w:t>
            </w:r>
          </w:p>
        </w:tc>
      </w:tr>
      <w:tr w:rsidR="005D680B" w14:paraId="23B6D353" w14:textId="77777777">
        <w:tc>
          <w:tcPr>
            <w:tcW w:w="0" w:type="auto"/>
            <w:tcBorders>
              <w:bottom w:val="single" w:sz="4" w:space="0" w:color="BFBFBF"/>
            </w:tcBorders>
            <w:tcMar>
              <w:top w:w="100" w:type="dxa"/>
              <w:left w:w="140" w:type="dxa"/>
              <w:bottom w:w="100" w:type="dxa"/>
              <w:right w:w="140" w:type="dxa"/>
            </w:tcMar>
            <w:hideMark/>
          </w:tcPr>
          <w:p w14:paraId="4E35B98D"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b/>
                <w:bCs/>
                <w:color w:val="1A1A1A"/>
                <w:sz w:val="20"/>
                <w:szCs w:val="20"/>
              </w:rPr>
              <w:t xml:space="preserve">Plataforma </w:t>
            </w:r>
            <w:proofErr w:type="spellStart"/>
            <w:r>
              <w:rPr>
                <w:rFonts w:ascii="Calibri" w:eastAsia="Times New Roman" w:hAnsi="Calibri" w:cs="Calibri"/>
                <w:b/>
                <w:bCs/>
                <w:color w:val="1A1A1A"/>
                <w:sz w:val="20"/>
                <w:szCs w:val="20"/>
              </w:rPr>
              <w:t>cloud</w:t>
            </w:r>
            <w:proofErr w:type="spellEnd"/>
          </w:p>
        </w:tc>
        <w:tc>
          <w:tcPr>
            <w:tcW w:w="0" w:type="auto"/>
            <w:tcBorders>
              <w:bottom w:val="single" w:sz="4" w:space="0" w:color="BFBFBF"/>
            </w:tcBorders>
            <w:noWrap/>
            <w:tcMar>
              <w:top w:w="100" w:type="dxa"/>
              <w:left w:w="140" w:type="dxa"/>
              <w:bottom w:w="100" w:type="dxa"/>
              <w:right w:w="140" w:type="dxa"/>
            </w:tcMar>
            <w:hideMark/>
          </w:tcPr>
          <w:p w14:paraId="7E1C2711"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5.200 /mes</w:t>
            </w:r>
          </w:p>
        </w:tc>
        <w:tc>
          <w:tcPr>
            <w:tcW w:w="0" w:type="auto"/>
            <w:tcBorders>
              <w:bottom w:val="single" w:sz="4" w:space="0" w:color="BFBFBF"/>
            </w:tcBorders>
            <w:noWrap/>
            <w:tcMar>
              <w:top w:w="100" w:type="dxa"/>
              <w:left w:w="140" w:type="dxa"/>
              <w:bottom w:w="100" w:type="dxa"/>
              <w:right w:w="140" w:type="dxa"/>
            </w:tcMar>
            <w:hideMark/>
          </w:tcPr>
          <w:p w14:paraId="1913B702"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1.200 /mes</w:t>
            </w:r>
          </w:p>
        </w:tc>
        <w:tc>
          <w:tcPr>
            <w:tcW w:w="0" w:type="auto"/>
            <w:tcBorders>
              <w:bottom w:val="single" w:sz="4" w:space="0" w:color="BFBFBF"/>
            </w:tcBorders>
            <w:noWrap/>
            <w:tcMar>
              <w:top w:w="100" w:type="dxa"/>
              <w:left w:w="140" w:type="dxa"/>
              <w:bottom w:w="100" w:type="dxa"/>
              <w:right w:w="140" w:type="dxa"/>
            </w:tcMar>
            <w:hideMark/>
          </w:tcPr>
          <w:p w14:paraId="246076B5"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38.400</w:t>
            </w:r>
          </w:p>
        </w:tc>
      </w:tr>
      <w:tr w:rsidR="005D680B" w14:paraId="36804735" w14:textId="77777777">
        <w:tc>
          <w:tcPr>
            <w:tcW w:w="0" w:type="auto"/>
            <w:tcBorders>
              <w:bottom w:val="single" w:sz="4" w:space="0" w:color="BFBFBF"/>
            </w:tcBorders>
            <w:tcMar>
              <w:top w:w="100" w:type="dxa"/>
              <w:left w:w="140" w:type="dxa"/>
              <w:bottom w:w="100" w:type="dxa"/>
              <w:right w:w="140" w:type="dxa"/>
            </w:tcMar>
            <w:hideMark/>
          </w:tcPr>
          <w:p w14:paraId="37D5DB43"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b/>
                <w:bCs/>
                <w:color w:val="1A1A1A"/>
                <w:sz w:val="20"/>
                <w:szCs w:val="20"/>
              </w:rPr>
              <w:t>Módulo — Opción A</w:t>
            </w:r>
          </w:p>
        </w:tc>
        <w:tc>
          <w:tcPr>
            <w:tcW w:w="0" w:type="auto"/>
            <w:tcBorders>
              <w:bottom w:val="single" w:sz="4" w:space="0" w:color="BFBFBF"/>
            </w:tcBorders>
            <w:noWrap/>
            <w:tcMar>
              <w:top w:w="100" w:type="dxa"/>
              <w:left w:w="140" w:type="dxa"/>
              <w:bottom w:w="100" w:type="dxa"/>
              <w:right w:w="140" w:type="dxa"/>
            </w:tcMar>
            <w:hideMark/>
          </w:tcPr>
          <w:p w14:paraId="22497774"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1.800 /mes</w:t>
            </w:r>
          </w:p>
        </w:tc>
        <w:tc>
          <w:tcPr>
            <w:tcW w:w="0" w:type="auto"/>
            <w:tcBorders>
              <w:bottom w:val="single" w:sz="4" w:space="0" w:color="BFBFBF"/>
            </w:tcBorders>
            <w:noWrap/>
            <w:tcMar>
              <w:top w:w="100" w:type="dxa"/>
              <w:left w:w="140" w:type="dxa"/>
              <w:bottom w:w="100" w:type="dxa"/>
              <w:right w:w="140" w:type="dxa"/>
            </w:tcMar>
            <w:hideMark/>
          </w:tcPr>
          <w:p w14:paraId="77785602"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1.800 /mes</w:t>
            </w:r>
          </w:p>
        </w:tc>
        <w:tc>
          <w:tcPr>
            <w:tcW w:w="0" w:type="auto"/>
            <w:tcBorders>
              <w:bottom w:val="single" w:sz="4" w:space="0" w:color="BFBFBF"/>
            </w:tcBorders>
            <w:noWrap/>
            <w:tcMar>
              <w:top w:w="100" w:type="dxa"/>
              <w:left w:w="140" w:type="dxa"/>
              <w:bottom w:w="100" w:type="dxa"/>
              <w:right w:w="140" w:type="dxa"/>
            </w:tcMar>
            <w:hideMark/>
          </w:tcPr>
          <w:p w14:paraId="5E8885C2"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21.600</w:t>
            </w:r>
          </w:p>
        </w:tc>
      </w:tr>
      <w:tr w:rsidR="005D680B" w14:paraId="002DFE69" w14:textId="77777777">
        <w:tc>
          <w:tcPr>
            <w:tcW w:w="0" w:type="auto"/>
            <w:tcBorders>
              <w:top w:val="single" w:sz="8" w:space="0" w:color="1F3864"/>
              <w:bottom w:val="single" w:sz="4" w:space="0" w:color="BFBFBF"/>
            </w:tcBorders>
            <w:shd w:val="clear" w:color="auto" w:fill="DEEAF6"/>
            <w:tcMar>
              <w:top w:w="100" w:type="dxa"/>
              <w:left w:w="140" w:type="dxa"/>
              <w:bottom w:w="100" w:type="dxa"/>
              <w:right w:w="140" w:type="dxa"/>
            </w:tcMar>
            <w:hideMark/>
          </w:tcPr>
          <w:p w14:paraId="72388D06" w14:textId="6A36F471" w:rsidR="005664FB" w:rsidRDefault="005664FB">
            <w:pPr>
              <w:spacing w:before="160" w:after="240"/>
              <w:rPr>
                <w:rFonts w:ascii="Calibri" w:eastAsia="Times New Roman" w:hAnsi="Calibri" w:cs="Calibri"/>
                <w:b/>
                <w:bCs/>
                <w:color w:val="1A1A1A"/>
                <w:sz w:val="20"/>
                <w:szCs w:val="20"/>
              </w:rPr>
            </w:pPr>
            <w:r>
              <w:rPr>
                <w:rFonts w:ascii="Calibri" w:eastAsia="Times New Roman" w:hAnsi="Calibri" w:cs="Calibri"/>
                <w:b/>
                <w:bCs/>
                <w:color w:val="1A1A1A"/>
                <w:sz w:val="20"/>
                <w:szCs w:val="20"/>
              </w:rPr>
              <w:t xml:space="preserve">Diferencia </w:t>
            </w:r>
            <w:r w:rsidR="005269A3">
              <w:rPr>
                <w:rFonts w:ascii="Calibri" w:eastAsia="Times New Roman" w:hAnsi="Calibri" w:cs="Calibri"/>
                <w:b/>
                <w:bCs/>
                <w:color w:val="1A1A1A"/>
                <w:sz w:val="20"/>
                <w:szCs w:val="20"/>
              </w:rPr>
              <w:t xml:space="preserve">mínima durante el </w:t>
            </w:r>
            <w:r>
              <w:rPr>
                <w:rFonts w:ascii="Calibri" w:eastAsia="Times New Roman" w:hAnsi="Calibri" w:cs="Calibri"/>
                <w:b/>
                <w:bCs/>
                <w:color w:val="1A1A1A"/>
                <w:sz w:val="20"/>
                <w:szCs w:val="20"/>
              </w:rPr>
              <w:t>primer año</w:t>
            </w:r>
          </w:p>
        </w:tc>
        <w:tc>
          <w:tcPr>
            <w:tcW w:w="0" w:type="auto"/>
            <w:tcBorders>
              <w:top w:val="single" w:sz="8" w:space="0" w:color="1F3864"/>
              <w:bottom w:val="single" w:sz="4" w:space="0" w:color="BFBFBF"/>
            </w:tcBorders>
            <w:shd w:val="clear" w:color="auto" w:fill="DEEAF6"/>
            <w:noWrap/>
            <w:tcMar>
              <w:top w:w="100" w:type="dxa"/>
              <w:left w:w="140" w:type="dxa"/>
              <w:bottom w:w="100" w:type="dxa"/>
              <w:right w:w="140" w:type="dxa"/>
            </w:tcMar>
            <w:hideMark/>
          </w:tcPr>
          <w:p w14:paraId="7E871809" w14:textId="77777777" w:rsidR="005664FB" w:rsidRDefault="005664FB">
            <w:pPr>
              <w:spacing w:before="160" w:after="240"/>
              <w:jc w:val="right"/>
              <w:rPr>
                <w:rFonts w:ascii="Calibri" w:eastAsia="Times New Roman" w:hAnsi="Calibri" w:cs="Calibri"/>
                <w:b/>
                <w:bCs/>
                <w:color w:val="1A1A1A"/>
                <w:sz w:val="20"/>
                <w:szCs w:val="20"/>
              </w:rPr>
            </w:pPr>
            <w:r>
              <w:rPr>
                <w:rFonts w:ascii="Calibri" w:eastAsia="Times New Roman" w:hAnsi="Calibri" w:cs="Calibri"/>
                <w:b/>
                <w:bCs/>
                <w:color w:val="1A1A1A"/>
                <w:sz w:val="20"/>
                <w:szCs w:val="20"/>
              </w:rPr>
              <w:t>− USD 20.400</w:t>
            </w:r>
          </w:p>
        </w:tc>
        <w:tc>
          <w:tcPr>
            <w:tcW w:w="0" w:type="auto"/>
            <w:tcBorders>
              <w:top w:val="single" w:sz="8" w:space="0" w:color="1F3864"/>
              <w:bottom w:val="single" w:sz="4" w:space="0" w:color="BFBFBF"/>
            </w:tcBorders>
            <w:shd w:val="clear" w:color="auto" w:fill="DEEAF6"/>
            <w:noWrap/>
            <w:tcMar>
              <w:top w:w="100" w:type="dxa"/>
              <w:left w:w="140" w:type="dxa"/>
              <w:bottom w:w="100" w:type="dxa"/>
              <w:right w:w="140" w:type="dxa"/>
            </w:tcMar>
            <w:hideMark/>
          </w:tcPr>
          <w:p w14:paraId="1FB21106" w14:textId="77777777" w:rsidR="005664FB" w:rsidRDefault="005664FB">
            <w:pPr>
              <w:spacing w:before="160" w:after="240"/>
              <w:jc w:val="right"/>
              <w:rPr>
                <w:rFonts w:ascii="Calibri" w:eastAsia="Times New Roman" w:hAnsi="Calibri" w:cs="Calibri"/>
                <w:b/>
                <w:bCs/>
                <w:color w:val="1A1A1A"/>
                <w:sz w:val="20"/>
                <w:szCs w:val="20"/>
              </w:rPr>
            </w:pPr>
            <w:r>
              <w:rPr>
                <w:rFonts w:ascii="Calibri" w:eastAsia="Times New Roman" w:hAnsi="Calibri" w:cs="Calibri"/>
                <w:b/>
                <w:bCs/>
                <w:color w:val="1A1A1A"/>
                <w:sz w:val="20"/>
                <w:szCs w:val="20"/>
              </w:rPr>
              <w:t> </w:t>
            </w:r>
          </w:p>
        </w:tc>
        <w:tc>
          <w:tcPr>
            <w:tcW w:w="0" w:type="auto"/>
            <w:tcBorders>
              <w:top w:val="single" w:sz="8" w:space="0" w:color="1F3864"/>
              <w:bottom w:val="single" w:sz="4" w:space="0" w:color="BFBFBF"/>
            </w:tcBorders>
            <w:shd w:val="clear" w:color="auto" w:fill="DEEAF6"/>
            <w:noWrap/>
            <w:tcMar>
              <w:top w:w="100" w:type="dxa"/>
              <w:left w:w="140" w:type="dxa"/>
              <w:bottom w:w="100" w:type="dxa"/>
              <w:right w:w="140" w:type="dxa"/>
            </w:tcMar>
            <w:hideMark/>
          </w:tcPr>
          <w:p w14:paraId="0D43E17C" w14:textId="77777777" w:rsidR="005664FB" w:rsidRDefault="005664FB">
            <w:pPr>
              <w:spacing w:before="160" w:after="240"/>
              <w:jc w:val="right"/>
              <w:rPr>
                <w:rFonts w:ascii="Calibri" w:eastAsia="Times New Roman" w:hAnsi="Calibri" w:cs="Calibri"/>
                <w:b/>
                <w:bCs/>
                <w:color w:val="1A1A1A"/>
                <w:sz w:val="20"/>
                <w:szCs w:val="20"/>
              </w:rPr>
            </w:pPr>
            <w:r>
              <w:rPr>
                <w:rFonts w:ascii="Calibri" w:eastAsia="Times New Roman" w:hAnsi="Calibri" w:cs="Calibri"/>
                <w:b/>
                <w:bCs/>
                <w:color w:val="1A1A1A"/>
                <w:sz w:val="20"/>
                <w:szCs w:val="20"/>
              </w:rPr>
              <w:t>− USD 16.800</w:t>
            </w:r>
          </w:p>
        </w:tc>
      </w:tr>
    </w:tbl>
    <w:p w14:paraId="7F85A3A2" w14:textId="77777777" w:rsidR="005664FB" w:rsidRDefault="005664FB">
      <w:pPr>
        <w:pStyle w:val="Ttulo3"/>
        <w:rPr>
          <w:rFonts w:ascii="Calibri" w:eastAsia="Times New Roman" w:hAnsi="Calibri" w:cs="Calibri"/>
        </w:rPr>
      </w:pPr>
      <w:r>
        <w:rPr>
          <w:rFonts w:ascii="Calibri" w:eastAsia="Times New Roman" w:hAnsi="Calibri" w:cs="Calibri"/>
        </w:rPr>
        <w:t>7.2 El costo de las adaptaciones</w:t>
      </w:r>
    </w:p>
    <w:p w14:paraId="44E38579"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lastRenderedPageBreak/>
        <w:t xml:space="preserve">La comparación por precio de lista deja fuera el componente que más pesa en una industria específica. La propuesta </w:t>
      </w:r>
      <w:proofErr w:type="spellStart"/>
      <w:r>
        <w:rPr>
          <w:rFonts w:ascii="Calibri" w:hAnsi="Calibri" w:cs="Calibri"/>
          <w:color w:val="1A1A1A"/>
          <w:sz w:val="22"/>
          <w:szCs w:val="22"/>
        </w:rPr>
        <w:t>cloud</w:t>
      </w:r>
      <w:proofErr w:type="spellEnd"/>
      <w:r>
        <w:rPr>
          <w:rFonts w:ascii="Calibri" w:hAnsi="Calibri" w:cs="Calibri"/>
          <w:color w:val="1A1A1A"/>
          <w:sz w:val="22"/>
          <w:szCs w:val="22"/>
        </w:rPr>
        <w:t xml:space="preserve"> incluye </w:t>
      </w:r>
      <w:r>
        <w:rPr>
          <w:rFonts w:ascii="Calibri" w:hAnsi="Calibri" w:cs="Calibri"/>
          <w:b/>
          <w:bCs/>
          <w:color w:val="1A1A1A"/>
          <w:sz w:val="22"/>
          <w:szCs w:val="22"/>
        </w:rPr>
        <w:t>100 horas de consultoría únicamente durante el primer año</w:t>
      </w:r>
      <w:r>
        <w:rPr>
          <w:rFonts w:ascii="Calibri" w:hAnsi="Calibri" w:cs="Calibri"/>
          <w:color w:val="1A1A1A"/>
          <w:sz w:val="22"/>
          <w:szCs w:val="22"/>
        </w:rPr>
        <w:t xml:space="preserve">; a partir del segundo, toda adaptación se factura a </w:t>
      </w:r>
      <w:r>
        <w:rPr>
          <w:rFonts w:ascii="Calibri" w:hAnsi="Calibri" w:cs="Calibri"/>
          <w:b/>
          <w:bCs/>
          <w:color w:val="1A1A1A"/>
          <w:sz w:val="22"/>
          <w:szCs w:val="22"/>
        </w:rPr>
        <w:t>USD 60 por hora</w:t>
      </w:r>
      <w:r>
        <w:rPr>
          <w:rFonts w:ascii="Calibri" w:hAnsi="Calibri" w:cs="Calibri"/>
          <w:color w:val="1A1A1A"/>
          <w:sz w:val="22"/>
          <w:szCs w:val="22"/>
        </w:rPr>
        <w:t xml:space="preserve"> sin bolsa incluida. Dado que buena parte de esas 100 horas se consume en la propia puesta en marcha, el remanente disponible para ajustes posteriores suele ser reducido.</w:t>
      </w:r>
    </w:p>
    <w:p w14:paraId="67845257"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t>Como no es posible anticipar con exactitud cuántas horas demandará la operación, se presentan tres escenarios. El costo adicional acumulado a tres años, únicamente por horas, sería:</w:t>
      </w:r>
    </w:p>
    <w:tbl>
      <w:tblPr>
        <w:tblW w:w="5000" w:type="pct"/>
        <w:tblCellMar>
          <w:top w:w="15" w:type="dxa"/>
          <w:left w:w="15" w:type="dxa"/>
          <w:bottom w:w="15" w:type="dxa"/>
          <w:right w:w="15" w:type="dxa"/>
        </w:tblCellMar>
        <w:tblLook w:val="04A0" w:firstRow="1" w:lastRow="0" w:firstColumn="1" w:lastColumn="0" w:noHBand="0" w:noVBand="1"/>
      </w:tblPr>
      <w:tblGrid>
        <w:gridCol w:w="2349"/>
        <w:gridCol w:w="1500"/>
        <w:gridCol w:w="1500"/>
        <w:gridCol w:w="1655"/>
        <w:gridCol w:w="1500"/>
      </w:tblGrid>
      <w:tr w:rsidR="005D680B" w14:paraId="2CACA761" w14:textId="77777777">
        <w:tc>
          <w:tcPr>
            <w:tcW w:w="1400" w:type="pct"/>
            <w:shd w:val="clear" w:color="auto" w:fill="1F3864"/>
            <w:tcMar>
              <w:top w:w="100" w:type="dxa"/>
              <w:left w:w="140" w:type="dxa"/>
              <w:bottom w:w="100" w:type="dxa"/>
              <w:right w:w="140" w:type="dxa"/>
            </w:tcMar>
            <w:vAlign w:val="center"/>
            <w:hideMark/>
          </w:tcPr>
          <w:p w14:paraId="5A57B636"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Escenario</w:t>
            </w:r>
          </w:p>
        </w:tc>
        <w:tc>
          <w:tcPr>
            <w:tcW w:w="900" w:type="pct"/>
            <w:shd w:val="clear" w:color="auto" w:fill="1F3864"/>
            <w:tcMar>
              <w:top w:w="100" w:type="dxa"/>
              <w:left w:w="140" w:type="dxa"/>
              <w:bottom w:w="100" w:type="dxa"/>
              <w:right w:w="140" w:type="dxa"/>
            </w:tcMar>
            <w:vAlign w:val="center"/>
            <w:hideMark/>
          </w:tcPr>
          <w:p w14:paraId="71F610F4"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Horas/año</w:t>
            </w:r>
          </w:p>
        </w:tc>
        <w:tc>
          <w:tcPr>
            <w:tcW w:w="900" w:type="pct"/>
            <w:shd w:val="clear" w:color="auto" w:fill="1F3864"/>
            <w:tcMar>
              <w:top w:w="100" w:type="dxa"/>
              <w:left w:w="140" w:type="dxa"/>
              <w:bottom w:w="100" w:type="dxa"/>
              <w:right w:w="140" w:type="dxa"/>
            </w:tcMar>
            <w:vAlign w:val="center"/>
            <w:hideMark/>
          </w:tcPr>
          <w:p w14:paraId="07F54A98"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Año 1</w:t>
            </w:r>
            <w:r>
              <w:rPr>
                <w:rFonts w:ascii="Calibri" w:eastAsia="Times New Roman" w:hAnsi="Calibri" w:cs="Calibri"/>
                <w:b/>
                <w:bCs/>
                <w:color w:val="FFFFFF"/>
                <w:sz w:val="20"/>
                <w:szCs w:val="20"/>
              </w:rPr>
              <w:br/>
            </w:r>
            <w:r>
              <w:rPr>
                <w:rStyle w:val="small1"/>
                <w:rFonts w:ascii="Calibri" w:eastAsia="Times New Roman" w:hAnsi="Calibri" w:cs="Calibri"/>
                <w:b/>
                <w:bCs/>
              </w:rPr>
              <w:t>(100 h incluidas)</w:t>
            </w:r>
          </w:p>
        </w:tc>
        <w:tc>
          <w:tcPr>
            <w:tcW w:w="900" w:type="pct"/>
            <w:shd w:val="clear" w:color="auto" w:fill="1F3864"/>
            <w:tcMar>
              <w:top w:w="100" w:type="dxa"/>
              <w:left w:w="140" w:type="dxa"/>
              <w:bottom w:w="100" w:type="dxa"/>
              <w:right w:w="140" w:type="dxa"/>
            </w:tcMar>
            <w:vAlign w:val="center"/>
            <w:hideMark/>
          </w:tcPr>
          <w:p w14:paraId="683B56B3"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Años 2 y 3</w:t>
            </w:r>
          </w:p>
        </w:tc>
        <w:tc>
          <w:tcPr>
            <w:tcW w:w="900" w:type="pct"/>
            <w:shd w:val="clear" w:color="auto" w:fill="1F3864"/>
            <w:tcMar>
              <w:top w:w="100" w:type="dxa"/>
              <w:left w:w="140" w:type="dxa"/>
              <w:bottom w:w="100" w:type="dxa"/>
              <w:right w:w="140" w:type="dxa"/>
            </w:tcMar>
            <w:vAlign w:val="center"/>
            <w:hideMark/>
          </w:tcPr>
          <w:p w14:paraId="4779F4AF"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Total 3 años</w:t>
            </w:r>
          </w:p>
        </w:tc>
      </w:tr>
      <w:tr w:rsidR="005D680B" w14:paraId="3FBCC0BF" w14:textId="77777777">
        <w:tc>
          <w:tcPr>
            <w:tcW w:w="0" w:type="auto"/>
            <w:tcBorders>
              <w:bottom w:val="single" w:sz="4" w:space="0" w:color="BFBFBF"/>
            </w:tcBorders>
            <w:tcMar>
              <w:top w:w="100" w:type="dxa"/>
              <w:left w:w="140" w:type="dxa"/>
              <w:bottom w:w="100" w:type="dxa"/>
              <w:right w:w="140" w:type="dxa"/>
            </w:tcMar>
            <w:hideMark/>
          </w:tcPr>
          <w:p w14:paraId="769E0ADA"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Bajo — solo mantenimiento</w:t>
            </w:r>
          </w:p>
        </w:tc>
        <w:tc>
          <w:tcPr>
            <w:tcW w:w="0" w:type="auto"/>
            <w:tcBorders>
              <w:bottom w:val="single" w:sz="4" w:space="0" w:color="BFBFBF"/>
            </w:tcBorders>
            <w:noWrap/>
            <w:tcMar>
              <w:top w:w="100" w:type="dxa"/>
              <w:left w:w="140" w:type="dxa"/>
              <w:bottom w:w="100" w:type="dxa"/>
              <w:right w:w="140" w:type="dxa"/>
            </w:tcMar>
            <w:hideMark/>
          </w:tcPr>
          <w:p w14:paraId="28134C80"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60</w:t>
            </w:r>
          </w:p>
        </w:tc>
        <w:tc>
          <w:tcPr>
            <w:tcW w:w="0" w:type="auto"/>
            <w:tcBorders>
              <w:bottom w:val="single" w:sz="4" w:space="0" w:color="BFBFBF"/>
            </w:tcBorders>
            <w:noWrap/>
            <w:tcMar>
              <w:top w:w="100" w:type="dxa"/>
              <w:left w:w="140" w:type="dxa"/>
              <w:bottom w:w="100" w:type="dxa"/>
              <w:right w:w="140" w:type="dxa"/>
            </w:tcMar>
            <w:hideMark/>
          </w:tcPr>
          <w:p w14:paraId="076A955B"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0</w:t>
            </w:r>
          </w:p>
        </w:tc>
        <w:tc>
          <w:tcPr>
            <w:tcW w:w="0" w:type="auto"/>
            <w:tcBorders>
              <w:bottom w:val="single" w:sz="4" w:space="0" w:color="BFBFBF"/>
            </w:tcBorders>
            <w:noWrap/>
            <w:tcMar>
              <w:top w:w="100" w:type="dxa"/>
              <w:left w:w="140" w:type="dxa"/>
              <w:bottom w:w="100" w:type="dxa"/>
              <w:right w:w="140" w:type="dxa"/>
            </w:tcMar>
            <w:hideMark/>
          </w:tcPr>
          <w:p w14:paraId="1EF08925"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3.600 /año</w:t>
            </w:r>
          </w:p>
        </w:tc>
        <w:tc>
          <w:tcPr>
            <w:tcW w:w="0" w:type="auto"/>
            <w:tcBorders>
              <w:bottom w:val="single" w:sz="4" w:space="0" w:color="BFBFBF"/>
            </w:tcBorders>
            <w:noWrap/>
            <w:tcMar>
              <w:top w:w="100" w:type="dxa"/>
              <w:left w:w="140" w:type="dxa"/>
              <w:bottom w:w="100" w:type="dxa"/>
              <w:right w:w="140" w:type="dxa"/>
            </w:tcMar>
            <w:hideMark/>
          </w:tcPr>
          <w:p w14:paraId="0CCA160E"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7.200</w:t>
            </w:r>
          </w:p>
        </w:tc>
      </w:tr>
      <w:tr w:rsidR="005D680B" w14:paraId="4B097C13" w14:textId="77777777">
        <w:tc>
          <w:tcPr>
            <w:tcW w:w="0" w:type="auto"/>
            <w:tcBorders>
              <w:bottom w:val="single" w:sz="4" w:space="0" w:color="BFBFBF"/>
            </w:tcBorders>
            <w:tcMar>
              <w:top w:w="100" w:type="dxa"/>
              <w:left w:w="140" w:type="dxa"/>
              <w:bottom w:w="100" w:type="dxa"/>
              <w:right w:w="140" w:type="dxa"/>
            </w:tcMar>
            <w:hideMark/>
          </w:tcPr>
          <w:p w14:paraId="473B38ED"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Medio — ajustes periódicos</w:t>
            </w:r>
          </w:p>
        </w:tc>
        <w:tc>
          <w:tcPr>
            <w:tcW w:w="0" w:type="auto"/>
            <w:tcBorders>
              <w:bottom w:val="single" w:sz="4" w:space="0" w:color="BFBFBF"/>
            </w:tcBorders>
            <w:noWrap/>
            <w:tcMar>
              <w:top w:w="100" w:type="dxa"/>
              <w:left w:w="140" w:type="dxa"/>
              <w:bottom w:w="100" w:type="dxa"/>
              <w:right w:w="140" w:type="dxa"/>
            </w:tcMar>
            <w:hideMark/>
          </w:tcPr>
          <w:p w14:paraId="4603B842"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120</w:t>
            </w:r>
          </w:p>
        </w:tc>
        <w:tc>
          <w:tcPr>
            <w:tcW w:w="0" w:type="auto"/>
            <w:tcBorders>
              <w:bottom w:val="single" w:sz="4" w:space="0" w:color="BFBFBF"/>
            </w:tcBorders>
            <w:noWrap/>
            <w:tcMar>
              <w:top w:w="100" w:type="dxa"/>
              <w:left w:w="140" w:type="dxa"/>
              <w:bottom w:w="100" w:type="dxa"/>
              <w:right w:w="140" w:type="dxa"/>
            </w:tcMar>
            <w:hideMark/>
          </w:tcPr>
          <w:p w14:paraId="17C0A5DA"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1.200</w:t>
            </w:r>
          </w:p>
        </w:tc>
        <w:tc>
          <w:tcPr>
            <w:tcW w:w="0" w:type="auto"/>
            <w:tcBorders>
              <w:bottom w:val="single" w:sz="4" w:space="0" w:color="BFBFBF"/>
            </w:tcBorders>
            <w:noWrap/>
            <w:tcMar>
              <w:top w:w="100" w:type="dxa"/>
              <w:left w:w="140" w:type="dxa"/>
              <w:bottom w:w="100" w:type="dxa"/>
              <w:right w:w="140" w:type="dxa"/>
            </w:tcMar>
            <w:hideMark/>
          </w:tcPr>
          <w:p w14:paraId="54A768EC"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7.200 /año</w:t>
            </w:r>
          </w:p>
        </w:tc>
        <w:tc>
          <w:tcPr>
            <w:tcW w:w="0" w:type="auto"/>
            <w:tcBorders>
              <w:bottom w:val="single" w:sz="4" w:space="0" w:color="BFBFBF"/>
            </w:tcBorders>
            <w:noWrap/>
            <w:tcMar>
              <w:top w:w="100" w:type="dxa"/>
              <w:left w:w="140" w:type="dxa"/>
              <w:bottom w:w="100" w:type="dxa"/>
              <w:right w:w="140" w:type="dxa"/>
            </w:tcMar>
            <w:hideMark/>
          </w:tcPr>
          <w:p w14:paraId="3570FF93"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15.600</w:t>
            </w:r>
          </w:p>
        </w:tc>
      </w:tr>
      <w:tr w:rsidR="005D680B" w14:paraId="6F938176" w14:textId="77777777">
        <w:tc>
          <w:tcPr>
            <w:tcW w:w="0" w:type="auto"/>
            <w:tcBorders>
              <w:bottom w:val="single" w:sz="4" w:space="0" w:color="BFBFBF"/>
            </w:tcBorders>
            <w:tcMar>
              <w:top w:w="100" w:type="dxa"/>
              <w:left w:w="140" w:type="dxa"/>
              <w:bottom w:w="100" w:type="dxa"/>
              <w:right w:w="140" w:type="dxa"/>
            </w:tcMar>
            <w:hideMark/>
          </w:tcPr>
          <w:p w14:paraId="45E9BE4B"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Alto — evolución continua</w:t>
            </w:r>
          </w:p>
        </w:tc>
        <w:tc>
          <w:tcPr>
            <w:tcW w:w="0" w:type="auto"/>
            <w:tcBorders>
              <w:bottom w:val="single" w:sz="4" w:space="0" w:color="BFBFBF"/>
            </w:tcBorders>
            <w:noWrap/>
            <w:tcMar>
              <w:top w:w="100" w:type="dxa"/>
              <w:left w:w="140" w:type="dxa"/>
              <w:bottom w:w="100" w:type="dxa"/>
              <w:right w:w="140" w:type="dxa"/>
            </w:tcMar>
            <w:hideMark/>
          </w:tcPr>
          <w:p w14:paraId="33361179"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240</w:t>
            </w:r>
          </w:p>
        </w:tc>
        <w:tc>
          <w:tcPr>
            <w:tcW w:w="0" w:type="auto"/>
            <w:tcBorders>
              <w:bottom w:val="single" w:sz="4" w:space="0" w:color="BFBFBF"/>
            </w:tcBorders>
            <w:noWrap/>
            <w:tcMar>
              <w:top w:w="100" w:type="dxa"/>
              <w:left w:w="140" w:type="dxa"/>
              <w:bottom w:w="100" w:type="dxa"/>
              <w:right w:w="140" w:type="dxa"/>
            </w:tcMar>
            <w:hideMark/>
          </w:tcPr>
          <w:p w14:paraId="3C491AB6"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8.400</w:t>
            </w:r>
          </w:p>
        </w:tc>
        <w:tc>
          <w:tcPr>
            <w:tcW w:w="0" w:type="auto"/>
            <w:tcBorders>
              <w:bottom w:val="single" w:sz="4" w:space="0" w:color="BFBFBF"/>
            </w:tcBorders>
            <w:noWrap/>
            <w:tcMar>
              <w:top w:w="100" w:type="dxa"/>
              <w:left w:w="140" w:type="dxa"/>
              <w:bottom w:w="100" w:type="dxa"/>
              <w:right w:w="140" w:type="dxa"/>
            </w:tcMar>
            <w:hideMark/>
          </w:tcPr>
          <w:p w14:paraId="5B928418"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14.400 /año</w:t>
            </w:r>
          </w:p>
        </w:tc>
        <w:tc>
          <w:tcPr>
            <w:tcW w:w="0" w:type="auto"/>
            <w:tcBorders>
              <w:bottom w:val="single" w:sz="4" w:space="0" w:color="BFBFBF"/>
            </w:tcBorders>
            <w:noWrap/>
            <w:tcMar>
              <w:top w:w="100" w:type="dxa"/>
              <w:left w:w="140" w:type="dxa"/>
              <w:bottom w:w="100" w:type="dxa"/>
              <w:right w:w="140" w:type="dxa"/>
            </w:tcMar>
            <w:hideMark/>
          </w:tcPr>
          <w:p w14:paraId="1EE26D9A"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37.200</w:t>
            </w:r>
          </w:p>
        </w:tc>
      </w:tr>
    </w:tbl>
    <w:p w14:paraId="08DA87E1" w14:textId="77777777" w:rsidR="005664FB" w:rsidRDefault="005664FB">
      <w:pPr>
        <w:shd w:val="clear" w:color="auto" w:fill="FBF0F0"/>
        <w:divId w:val="908420276"/>
        <w:rPr>
          <w:rFonts w:ascii="Calibri" w:eastAsia="Times New Roman" w:hAnsi="Calibri" w:cs="Calibri"/>
          <w:color w:val="1A1A1A"/>
          <w:sz w:val="22"/>
          <w:szCs w:val="22"/>
        </w:rPr>
      </w:pPr>
      <w:r>
        <w:rPr>
          <w:rFonts w:ascii="Calibri" w:eastAsia="Times New Roman" w:hAnsi="Calibri" w:cs="Calibri"/>
          <w:b/>
          <w:bCs/>
          <w:color w:val="1A1A1A"/>
          <w:sz w:val="22"/>
          <w:szCs w:val="22"/>
        </w:rPr>
        <w:t>Este es el costo que no aparece en ninguna de las dos propuestas.</w:t>
      </w:r>
      <w:r>
        <w:rPr>
          <w:rFonts w:ascii="Calibri" w:eastAsia="Times New Roman" w:hAnsi="Calibri" w:cs="Calibri"/>
          <w:color w:val="1A1A1A"/>
          <w:sz w:val="22"/>
          <w:szCs w:val="22"/>
        </w:rPr>
        <w:t xml:space="preserve"> En la modalidad de abono integral, esas horas ya están incluidas hasta la bolsa contratada y las que la excedan se facturan a un valor menor. La diferencia entre ambos esquemas </w:t>
      </w:r>
      <w:r>
        <w:rPr>
          <w:rFonts w:ascii="Calibri" w:eastAsia="Times New Roman" w:hAnsi="Calibri" w:cs="Calibri"/>
          <w:b/>
          <w:bCs/>
          <w:color w:val="1A1A1A"/>
          <w:sz w:val="22"/>
          <w:szCs w:val="22"/>
        </w:rPr>
        <w:t>se amplía cuanto más evolucione el sistema</w:t>
      </w:r>
      <w:r>
        <w:rPr>
          <w:rFonts w:ascii="Calibri" w:eastAsia="Times New Roman" w:hAnsi="Calibri" w:cs="Calibri"/>
          <w:color w:val="1A1A1A"/>
          <w:sz w:val="22"/>
          <w:szCs w:val="22"/>
        </w:rPr>
        <w:t>, que es precisamente lo que cabe esperar de una liquidación pesquera.</w:t>
      </w:r>
      <w:r>
        <w:rPr>
          <w:rFonts w:ascii="Calibri" w:eastAsia="Times New Roman" w:hAnsi="Calibri" w:cs="Calibri"/>
          <w:color w:val="1A1A1A"/>
          <w:sz w:val="22"/>
          <w:szCs w:val="22"/>
        </w:rPr>
        <w:br/>
      </w:r>
      <w:r>
        <w:rPr>
          <w:rFonts w:ascii="Calibri" w:eastAsia="Times New Roman" w:hAnsi="Calibri" w:cs="Calibri"/>
          <w:color w:val="1A1A1A"/>
          <w:sz w:val="22"/>
          <w:szCs w:val="22"/>
        </w:rPr>
        <w:br/>
        <w:t xml:space="preserve">Y con una salvedad que el punto 5.1 desarrolla: esas horas de consultoría cubren </w:t>
      </w:r>
      <w:r>
        <w:rPr>
          <w:rFonts w:ascii="Calibri" w:eastAsia="Times New Roman" w:hAnsi="Calibri" w:cs="Calibri"/>
          <w:b/>
          <w:bCs/>
          <w:color w:val="1A1A1A"/>
          <w:sz w:val="22"/>
          <w:szCs w:val="22"/>
        </w:rPr>
        <w:t>configuración</w:t>
      </w:r>
      <w:r>
        <w:rPr>
          <w:rFonts w:ascii="Calibri" w:eastAsia="Times New Roman" w:hAnsi="Calibri" w:cs="Calibri"/>
          <w:color w:val="1A1A1A"/>
          <w:sz w:val="22"/>
          <w:szCs w:val="22"/>
        </w:rPr>
        <w:t xml:space="preserve">. Lo que requiere código está excluido del alcance, de modo que los escenarios de arriba miden el costo de lo que sí es resoluble por hora, no el de las particularidades de la actividad. </w:t>
      </w:r>
    </w:p>
    <w:p w14:paraId="429B6787" w14:textId="77777777" w:rsidR="005664FB" w:rsidRDefault="005664FB">
      <w:pPr>
        <w:pStyle w:val="Ttulo3"/>
        <w:rPr>
          <w:rFonts w:ascii="Calibri" w:eastAsia="Times New Roman" w:hAnsi="Calibri" w:cs="Calibri"/>
        </w:rPr>
      </w:pPr>
      <w:r>
        <w:rPr>
          <w:rFonts w:ascii="Calibri" w:eastAsia="Times New Roman" w:hAnsi="Calibri" w:cs="Calibri"/>
        </w:rPr>
        <w:t>7.3 A tres y cinco años</w:t>
      </w:r>
    </w:p>
    <w:p w14:paraId="5EDF8700"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t>Incluyendo el costo de las adaptaciones según el escenario que se considere aplicable:</w:t>
      </w:r>
    </w:p>
    <w:tbl>
      <w:tblPr>
        <w:tblW w:w="5000" w:type="pct"/>
        <w:tblCellMar>
          <w:top w:w="15" w:type="dxa"/>
          <w:left w:w="15" w:type="dxa"/>
          <w:bottom w:w="15" w:type="dxa"/>
          <w:right w:w="15" w:type="dxa"/>
        </w:tblCellMar>
        <w:tblLook w:val="04A0" w:firstRow="1" w:lastRow="0" w:firstColumn="1" w:lastColumn="0" w:noHBand="0" w:noVBand="1"/>
      </w:tblPr>
      <w:tblGrid>
        <w:gridCol w:w="2890"/>
        <w:gridCol w:w="1361"/>
        <w:gridCol w:w="1361"/>
        <w:gridCol w:w="1446"/>
        <w:gridCol w:w="1446"/>
      </w:tblGrid>
      <w:tr w:rsidR="005D680B" w14:paraId="3CAB73FD" w14:textId="77777777">
        <w:tc>
          <w:tcPr>
            <w:tcW w:w="1700" w:type="pct"/>
            <w:shd w:val="clear" w:color="auto" w:fill="1F3864"/>
            <w:tcMar>
              <w:top w:w="100" w:type="dxa"/>
              <w:left w:w="140" w:type="dxa"/>
              <w:bottom w:w="100" w:type="dxa"/>
              <w:right w:w="140" w:type="dxa"/>
            </w:tcMar>
            <w:vAlign w:val="center"/>
            <w:hideMark/>
          </w:tcPr>
          <w:p w14:paraId="404AE67D"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 </w:t>
            </w:r>
          </w:p>
        </w:tc>
        <w:tc>
          <w:tcPr>
            <w:tcW w:w="800" w:type="pct"/>
            <w:shd w:val="clear" w:color="auto" w:fill="1F3864"/>
            <w:tcMar>
              <w:top w:w="100" w:type="dxa"/>
              <w:left w:w="140" w:type="dxa"/>
              <w:bottom w:w="100" w:type="dxa"/>
              <w:right w:w="140" w:type="dxa"/>
            </w:tcMar>
            <w:vAlign w:val="center"/>
            <w:hideMark/>
          </w:tcPr>
          <w:p w14:paraId="14791AEF"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Año 1</w:t>
            </w:r>
          </w:p>
        </w:tc>
        <w:tc>
          <w:tcPr>
            <w:tcW w:w="800" w:type="pct"/>
            <w:shd w:val="clear" w:color="auto" w:fill="1F3864"/>
            <w:tcMar>
              <w:top w:w="100" w:type="dxa"/>
              <w:left w:w="140" w:type="dxa"/>
              <w:bottom w:w="100" w:type="dxa"/>
              <w:right w:w="140" w:type="dxa"/>
            </w:tcMar>
            <w:vAlign w:val="center"/>
            <w:hideMark/>
          </w:tcPr>
          <w:p w14:paraId="050B0E48"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Años 2-3</w:t>
            </w:r>
          </w:p>
        </w:tc>
        <w:tc>
          <w:tcPr>
            <w:tcW w:w="850" w:type="pct"/>
            <w:shd w:val="clear" w:color="auto" w:fill="1F3864"/>
            <w:tcMar>
              <w:top w:w="100" w:type="dxa"/>
              <w:left w:w="140" w:type="dxa"/>
              <w:bottom w:w="100" w:type="dxa"/>
              <w:right w:w="140" w:type="dxa"/>
            </w:tcMar>
            <w:vAlign w:val="center"/>
            <w:hideMark/>
          </w:tcPr>
          <w:p w14:paraId="142F9043"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3 años</w:t>
            </w:r>
          </w:p>
        </w:tc>
        <w:tc>
          <w:tcPr>
            <w:tcW w:w="850" w:type="pct"/>
            <w:shd w:val="clear" w:color="auto" w:fill="1F3864"/>
            <w:tcMar>
              <w:top w:w="100" w:type="dxa"/>
              <w:left w:w="140" w:type="dxa"/>
              <w:bottom w:w="100" w:type="dxa"/>
              <w:right w:w="140" w:type="dxa"/>
            </w:tcMar>
            <w:vAlign w:val="center"/>
            <w:hideMark/>
          </w:tcPr>
          <w:p w14:paraId="7FBE2557"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5 años</w:t>
            </w:r>
          </w:p>
        </w:tc>
      </w:tr>
      <w:tr w:rsidR="005D680B" w14:paraId="6D84E87A" w14:textId="77777777">
        <w:tc>
          <w:tcPr>
            <w:tcW w:w="0" w:type="auto"/>
            <w:tcBorders>
              <w:bottom w:val="single" w:sz="4" w:space="0" w:color="BFBFBF"/>
            </w:tcBorders>
            <w:tcMar>
              <w:top w:w="100" w:type="dxa"/>
              <w:left w:w="140" w:type="dxa"/>
              <w:bottom w:w="100" w:type="dxa"/>
              <w:right w:w="140" w:type="dxa"/>
            </w:tcMar>
            <w:hideMark/>
          </w:tcPr>
          <w:p w14:paraId="188D94A4" w14:textId="36297528"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b/>
                <w:bCs/>
                <w:color w:val="1A1A1A"/>
                <w:sz w:val="20"/>
                <w:szCs w:val="20"/>
              </w:rPr>
              <w:t xml:space="preserve">Plataforma </w:t>
            </w:r>
            <w:proofErr w:type="spellStart"/>
            <w:r>
              <w:rPr>
                <w:rFonts w:ascii="Calibri" w:eastAsia="Times New Roman" w:hAnsi="Calibri" w:cs="Calibri"/>
                <w:b/>
                <w:bCs/>
                <w:color w:val="1A1A1A"/>
                <w:sz w:val="20"/>
                <w:szCs w:val="20"/>
              </w:rPr>
              <w:t>cloud</w:t>
            </w:r>
            <w:proofErr w:type="spellEnd"/>
            <w:r>
              <w:rPr>
                <w:rFonts w:ascii="Calibri" w:eastAsia="Times New Roman" w:hAnsi="Calibri" w:cs="Calibri"/>
                <w:color w:val="1A1A1A"/>
                <w:sz w:val="20"/>
                <w:szCs w:val="20"/>
              </w:rPr>
              <w:t xml:space="preserve"> — precio de lista</w:t>
            </w:r>
            <w:r>
              <w:rPr>
                <w:rFonts w:ascii="Calibri" w:eastAsia="Times New Roman" w:hAnsi="Calibri" w:cs="Calibri"/>
                <w:color w:val="1A1A1A"/>
                <w:sz w:val="20"/>
                <w:szCs w:val="20"/>
              </w:rPr>
              <w:br/>
            </w:r>
            <w:r>
              <w:rPr>
                <w:rStyle w:val="small1"/>
                <w:rFonts w:ascii="Calibri" w:eastAsia="Times New Roman" w:hAnsi="Calibri" w:cs="Calibri"/>
              </w:rPr>
              <w:t xml:space="preserve">Implementación 24.000 + </w:t>
            </w:r>
            <w:r w:rsidR="00D10A5C">
              <w:rPr>
                <w:rStyle w:val="small1"/>
                <w:rFonts w:ascii="Calibri" w:eastAsia="Times New Roman" w:hAnsi="Calibri" w:cs="Calibri"/>
              </w:rPr>
              <w:t>Abono</w:t>
            </w:r>
            <w:r>
              <w:rPr>
                <w:rStyle w:val="small1"/>
                <w:rFonts w:ascii="Calibri" w:eastAsia="Times New Roman" w:hAnsi="Calibri" w:cs="Calibri"/>
              </w:rPr>
              <w:t xml:space="preserve"> 1.200/mes</w:t>
            </w:r>
          </w:p>
        </w:tc>
        <w:tc>
          <w:tcPr>
            <w:tcW w:w="0" w:type="auto"/>
            <w:tcBorders>
              <w:bottom w:val="single" w:sz="4" w:space="0" w:color="BFBFBF"/>
            </w:tcBorders>
            <w:noWrap/>
            <w:tcMar>
              <w:top w:w="100" w:type="dxa"/>
              <w:left w:w="140" w:type="dxa"/>
              <w:bottom w:w="100" w:type="dxa"/>
              <w:right w:w="140" w:type="dxa"/>
            </w:tcMar>
            <w:hideMark/>
          </w:tcPr>
          <w:p w14:paraId="0A8C285B"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38.400</w:t>
            </w:r>
          </w:p>
        </w:tc>
        <w:tc>
          <w:tcPr>
            <w:tcW w:w="0" w:type="auto"/>
            <w:tcBorders>
              <w:bottom w:val="single" w:sz="4" w:space="0" w:color="BFBFBF"/>
            </w:tcBorders>
            <w:noWrap/>
            <w:tcMar>
              <w:top w:w="100" w:type="dxa"/>
              <w:left w:w="140" w:type="dxa"/>
              <w:bottom w:w="100" w:type="dxa"/>
              <w:right w:w="140" w:type="dxa"/>
            </w:tcMar>
            <w:hideMark/>
          </w:tcPr>
          <w:p w14:paraId="3DF4D731"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14.400 /año</w:t>
            </w:r>
          </w:p>
        </w:tc>
        <w:tc>
          <w:tcPr>
            <w:tcW w:w="0" w:type="auto"/>
            <w:tcBorders>
              <w:bottom w:val="single" w:sz="4" w:space="0" w:color="BFBFBF"/>
            </w:tcBorders>
            <w:noWrap/>
            <w:tcMar>
              <w:top w:w="100" w:type="dxa"/>
              <w:left w:w="140" w:type="dxa"/>
              <w:bottom w:w="100" w:type="dxa"/>
              <w:right w:w="140" w:type="dxa"/>
            </w:tcMar>
            <w:hideMark/>
          </w:tcPr>
          <w:p w14:paraId="74F04C1D"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67.200</w:t>
            </w:r>
          </w:p>
        </w:tc>
        <w:tc>
          <w:tcPr>
            <w:tcW w:w="0" w:type="auto"/>
            <w:tcBorders>
              <w:bottom w:val="single" w:sz="4" w:space="0" w:color="BFBFBF"/>
            </w:tcBorders>
            <w:noWrap/>
            <w:tcMar>
              <w:top w:w="100" w:type="dxa"/>
              <w:left w:w="140" w:type="dxa"/>
              <w:bottom w:w="100" w:type="dxa"/>
              <w:right w:w="140" w:type="dxa"/>
            </w:tcMar>
            <w:hideMark/>
          </w:tcPr>
          <w:p w14:paraId="41A4E228"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96.000</w:t>
            </w:r>
          </w:p>
        </w:tc>
      </w:tr>
      <w:tr w:rsidR="005D680B" w14:paraId="18A57DE0" w14:textId="77777777">
        <w:tc>
          <w:tcPr>
            <w:tcW w:w="0" w:type="auto"/>
            <w:tcBorders>
              <w:bottom w:val="single" w:sz="4" w:space="0" w:color="BFBFBF"/>
            </w:tcBorders>
            <w:tcMar>
              <w:top w:w="100" w:type="dxa"/>
              <w:left w:w="140" w:type="dxa"/>
              <w:bottom w:w="100" w:type="dxa"/>
              <w:right w:w="140" w:type="dxa"/>
            </w:tcMar>
            <w:hideMark/>
          </w:tcPr>
          <w:p w14:paraId="1ED78942"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  + horas, escenario bajo (60 h/año)</w:t>
            </w:r>
          </w:p>
        </w:tc>
        <w:tc>
          <w:tcPr>
            <w:tcW w:w="0" w:type="auto"/>
            <w:tcBorders>
              <w:bottom w:val="single" w:sz="4" w:space="0" w:color="BFBFBF"/>
            </w:tcBorders>
            <w:noWrap/>
            <w:tcMar>
              <w:top w:w="100" w:type="dxa"/>
              <w:left w:w="140" w:type="dxa"/>
              <w:bottom w:w="100" w:type="dxa"/>
              <w:right w:w="140" w:type="dxa"/>
            </w:tcMar>
            <w:hideMark/>
          </w:tcPr>
          <w:p w14:paraId="4DB9630C"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38.400</w:t>
            </w:r>
          </w:p>
        </w:tc>
        <w:tc>
          <w:tcPr>
            <w:tcW w:w="0" w:type="auto"/>
            <w:tcBorders>
              <w:bottom w:val="single" w:sz="4" w:space="0" w:color="BFBFBF"/>
            </w:tcBorders>
            <w:noWrap/>
            <w:tcMar>
              <w:top w:w="100" w:type="dxa"/>
              <w:left w:w="140" w:type="dxa"/>
              <w:bottom w:w="100" w:type="dxa"/>
              <w:right w:w="140" w:type="dxa"/>
            </w:tcMar>
            <w:hideMark/>
          </w:tcPr>
          <w:p w14:paraId="5C19946E"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18.000 /año</w:t>
            </w:r>
          </w:p>
        </w:tc>
        <w:tc>
          <w:tcPr>
            <w:tcW w:w="0" w:type="auto"/>
            <w:tcBorders>
              <w:bottom w:val="single" w:sz="4" w:space="0" w:color="BFBFBF"/>
            </w:tcBorders>
            <w:noWrap/>
            <w:tcMar>
              <w:top w:w="100" w:type="dxa"/>
              <w:left w:w="140" w:type="dxa"/>
              <w:bottom w:w="100" w:type="dxa"/>
              <w:right w:w="140" w:type="dxa"/>
            </w:tcMar>
            <w:hideMark/>
          </w:tcPr>
          <w:p w14:paraId="5C602E54"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74.400</w:t>
            </w:r>
          </w:p>
        </w:tc>
        <w:tc>
          <w:tcPr>
            <w:tcW w:w="0" w:type="auto"/>
            <w:tcBorders>
              <w:bottom w:val="single" w:sz="4" w:space="0" w:color="BFBFBF"/>
            </w:tcBorders>
            <w:noWrap/>
            <w:tcMar>
              <w:top w:w="100" w:type="dxa"/>
              <w:left w:w="140" w:type="dxa"/>
              <w:bottom w:w="100" w:type="dxa"/>
              <w:right w:w="140" w:type="dxa"/>
            </w:tcMar>
            <w:hideMark/>
          </w:tcPr>
          <w:p w14:paraId="70DE3BB5"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110.400</w:t>
            </w:r>
          </w:p>
        </w:tc>
      </w:tr>
      <w:tr w:rsidR="005D680B" w14:paraId="43592DDD" w14:textId="77777777">
        <w:tc>
          <w:tcPr>
            <w:tcW w:w="0" w:type="auto"/>
            <w:tcBorders>
              <w:bottom w:val="single" w:sz="4" w:space="0" w:color="BFBFBF"/>
            </w:tcBorders>
            <w:tcMar>
              <w:top w:w="100" w:type="dxa"/>
              <w:left w:w="140" w:type="dxa"/>
              <w:bottom w:w="100" w:type="dxa"/>
              <w:right w:w="140" w:type="dxa"/>
            </w:tcMar>
            <w:hideMark/>
          </w:tcPr>
          <w:p w14:paraId="1FDABC3D"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  + horas, escenario medio (120 h/año)</w:t>
            </w:r>
          </w:p>
        </w:tc>
        <w:tc>
          <w:tcPr>
            <w:tcW w:w="0" w:type="auto"/>
            <w:tcBorders>
              <w:bottom w:val="single" w:sz="4" w:space="0" w:color="BFBFBF"/>
            </w:tcBorders>
            <w:noWrap/>
            <w:tcMar>
              <w:top w:w="100" w:type="dxa"/>
              <w:left w:w="140" w:type="dxa"/>
              <w:bottom w:w="100" w:type="dxa"/>
              <w:right w:w="140" w:type="dxa"/>
            </w:tcMar>
            <w:hideMark/>
          </w:tcPr>
          <w:p w14:paraId="25743D0A"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39.600</w:t>
            </w:r>
          </w:p>
        </w:tc>
        <w:tc>
          <w:tcPr>
            <w:tcW w:w="0" w:type="auto"/>
            <w:tcBorders>
              <w:bottom w:val="single" w:sz="4" w:space="0" w:color="BFBFBF"/>
            </w:tcBorders>
            <w:noWrap/>
            <w:tcMar>
              <w:top w:w="100" w:type="dxa"/>
              <w:left w:w="140" w:type="dxa"/>
              <w:bottom w:w="100" w:type="dxa"/>
              <w:right w:w="140" w:type="dxa"/>
            </w:tcMar>
            <w:hideMark/>
          </w:tcPr>
          <w:p w14:paraId="77566A0B"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21.600 /año</w:t>
            </w:r>
          </w:p>
        </w:tc>
        <w:tc>
          <w:tcPr>
            <w:tcW w:w="0" w:type="auto"/>
            <w:tcBorders>
              <w:bottom w:val="single" w:sz="4" w:space="0" w:color="BFBFBF"/>
            </w:tcBorders>
            <w:noWrap/>
            <w:tcMar>
              <w:top w:w="100" w:type="dxa"/>
              <w:left w:w="140" w:type="dxa"/>
              <w:bottom w:w="100" w:type="dxa"/>
              <w:right w:w="140" w:type="dxa"/>
            </w:tcMar>
            <w:hideMark/>
          </w:tcPr>
          <w:p w14:paraId="492F17CA"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82.800</w:t>
            </w:r>
          </w:p>
        </w:tc>
        <w:tc>
          <w:tcPr>
            <w:tcW w:w="0" w:type="auto"/>
            <w:tcBorders>
              <w:bottom w:val="single" w:sz="4" w:space="0" w:color="BFBFBF"/>
            </w:tcBorders>
            <w:noWrap/>
            <w:tcMar>
              <w:top w:w="100" w:type="dxa"/>
              <w:left w:w="140" w:type="dxa"/>
              <w:bottom w:w="100" w:type="dxa"/>
              <w:right w:w="140" w:type="dxa"/>
            </w:tcMar>
            <w:hideMark/>
          </w:tcPr>
          <w:p w14:paraId="2EB07A86"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126.000</w:t>
            </w:r>
          </w:p>
        </w:tc>
      </w:tr>
      <w:tr w:rsidR="005D680B" w14:paraId="0DE07EC7" w14:textId="77777777">
        <w:tc>
          <w:tcPr>
            <w:tcW w:w="0" w:type="auto"/>
            <w:tcBorders>
              <w:bottom w:val="single" w:sz="4" w:space="0" w:color="BFBFBF"/>
            </w:tcBorders>
            <w:tcMar>
              <w:top w:w="100" w:type="dxa"/>
              <w:left w:w="140" w:type="dxa"/>
              <w:bottom w:w="100" w:type="dxa"/>
              <w:right w:w="140" w:type="dxa"/>
            </w:tcMar>
            <w:hideMark/>
          </w:tcPr>
          <w:p w14:paraId="4F414031"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  + horas, escenario alto (240 h/año)</w:t>
            </w:r>
          </w:p>
        </w:tc>
        <w:tc>
          <w:tcPr>
            <w:tcW w:w="0" w:type="auto"/>
            <w:tcBorders>
              <w:bottom w:val="single" w:sz="4" w:space="0" w:color="BFBFBF"/>
            </w:tcBorders>
            <w:noWrap/>
            <w:tcMar>
              <w:top w:w="100" w:type="dxa"/>
              <w:left w:w="140" w:type="dxa"/>
              <w:bottom w:w="100" w:type="dxa"/>
              <w:right w:w="140" w:type="dxa"/>
            </w:tcMar>
            <w:hideMark/>
          </w:tcPr>
          <w:p w14:paraId="15486787"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46.800</w:t>
            </w:r>
          </w:p>
        </w:tc>
        <w:tc>
          <w:tcPr>
            <w:tcW w:w="0" w:type="auto"/>
            <w:tcBorders>
              <w:bottom w:val="single" w:sz="4" w:space="0" w:color="BFBFBF"/>
            </w:tcBorders>
            <w:noWrap/>
            <w:tcMar>
              <w:top w:w="100" w:type="dxa"/>
              <w:left w:w="140" w:type="dxa"/>
              <w:bottom w:w="100" w:type="dxa"/>
              <w:right w:w="140" w:type="dxa"/>
            </w:tcMar>
            <w:hideMark/>
          </w:tcPr>
          <w:p w14:paraId="15B863B6"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28.800 /año</w:t>
            </w:r>
          </w:p>
        </w:tc>
        <w:tc>
          <w:tcPr>
            <w:tcW w:w="0" w:type="auto"/>
            <w:tcBorders>
              <w:bottom w:val="single" w:sz="4" w:space="0" w:color="BFBFBF"/>
            </w:tcBorders>
            <w:noWrap/>
            <w:tcMar>
              <w:top w:w="100" w:type="dxa"/>
              <w:left w:w="140" w:type="dxa"/>
              <w:bottom w:w="100" w:type="dxa"/>
              <w:right w:w="140" w:type="dxa"/>
            </w:tcMar>
            <w:hideMark/>
          </w:tcPr>
          <w:p w14:paraId="5DD60366"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104.400</w:t>
            </w:r>
          </w:p>
        </w:tc>
        <w:tc>
          <w:tcPr>
            <w:tcW w:w="0" w:type="auto"/>
            <w:tcBorders>
              <w:bottom w:val="single" w:sz="4" w:space="0" w:color="BFBFBF"/>
            </w:tcBorders>
            <w:noWrap/>
            <w:tcMar>
              <w:top w:w="100" w:type="dxa"/>
              <w:left w:w="140" w:type="dxa"/>
              <w:bottom w:w="100" w:type="dxa"/>
              <w:right w:w="140" w:type="dxa"/>
            </w:tcMar>
            <w:hideMark/>
          </w:tcPr>
          <w:p w14:paraId="764D486D"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162.000</w:t>
            </w:r>
          </w:p>
        </w:tc>
      </w:tr>
      <w:tr w:rsidR="005D680B" w14:paraId="59668D83" w14:textId="77777777">
        <w:tc>
          <w:tcPr>
            <w:tcW w:w="0" w:type="auto"/>
            <w:tcBorders>
              <w:bottom w:val="single" w:sz="4" w:space="0" w:color="BFBFBF"/>
            </w:tcBorders>
            <w:tcMar>
              <w:top w:w="100" w:type="dxa"/>
              <w:left w:w="140" w:type="dxa"/>
              <w:bottom w:w="100" w:type="dxa"/>
              <w:right w:w="140" w:type="dxa"/>
            </w:tcMar>
            <w:hideMark/>
          </w:tcPr>
          <w:p w14:paraId="786C5176"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b/>
                <w:bCs/>
                <w:color w:val="1A1A1A"/>
                <w:sz w:val="20"/>
                <w:szCs w:val="20"/>
              </w:rPr>
              <w:t>Módulo — Opción A</w:t>
            </w:r>
            <w:r>
              <w:rPr>
                <w:rFonts w:ascii="Calibri" w:eastAsia="Times New Roman" w:hAnsi="Calibri" w:cs="Calibri"/>
                <w:color w:val="1A1A1A"/>
                <w:sz w:val="20"/>
                <w:szCs w:val="20"/>
              </w:rPr>
              <w:br/>
            </w:r>
            <w:r>
              <w:rPr>
                <w:rStyle w:val="small1"/>
                <w:rFonts w:ascii="Calibri" w:eastAsia="Times New Roman" w:hAnsi="Calibri" w:cs="Calibri"/>
              </w:rPr>
              <w:t>USD 1.800/mes, con 10 horas mensuales incluidas</w:t>
            </w:r>
          </w:p>
        </w:tc>
        <w:tc>
          <w:tcPr>
            <w:tcW w:w="0" w:type="auto"/>
            <w:tcBorders>
              <w:bottom w:val="single" w:sz="4" w:space="0" w:color="BFBFBF"/>
            </w:tcBorders>
            <w:noWrap/>
            <w:tcMar>
              <w:top w:w="100" w:type="dxa"/>
              <w:left w:w="140" w:type="dxa"/>
              <w:bottom w:w="100" w:type="dxa"/>
              <w:right w:w="140" w:type="dxa"/>
            </w:tcMar>
            <w:hideMark/>
          </w:tcPr>
          <w:p w14:paraId="6E7E0C68"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b/>
                <w:bCs/>
                <w:color w:val="1A1A1A"/>
                <w:sz w:val="20"/>
                <w:szCs w:val="20"/>
              </w:rPr>
              <w:t>21.600</w:t>
            </w:r>
          </w:p>
        </w:tc>
        <w:tc>
          <w:tcPr>
            <w:tcW w:w="0" w:type="auto"/>
            <w:tcBorders>
              <w:bottom w:val="single" w:sz="4" w:space="0" w:color="BFBFBF"/>
            </w:tcBorders>
            <w:noWrap/>
            <w:tcMar>
              <w:top w:w="100" w:type="dxa"/>
              <w:left w:w="140" w:type="dxa"/>
              <w:bottom w:w="100" w:type="dxa"/>
              <w:right w:w="140" w:type="dxa"/>
            </w:tcMar>
            <w:hideMark/>
          </w:tcPr>
          <w:p w14:paraId="74AEEB63"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b/>
                <w:bCs/>
                <w:color w:val="1A1A1A"/>
                <w:sz w:val="20"/>
                <w:szCs w:val="20"/>
              </w:rPr>
              <w:t>21.600 /año</w:t>
            </w:r>
          </w:p>
        </w:tc>
        <w:tc>
          <w:tcPr>
            <w:tcW w:w="0" w:type="auto"/>
            <w:tcBorders>
              <w:bottom w:val="single" w:sz="4" w:space="0" w:color="BFBFBF"/>
            </w:tcBorders>
            <w:noWrap/>
            <w:tcMar>
              <w:top w:w="100" w:type="dxa"/>
              <w:left w:w="140" w:type="dxa"/>
              <w:bottom w:w="100" w:type="dxa"/>
              <w:right w:w="140" w:type="dxa"/>
            </w:tcMar>
            <w:hideMark/>
          </w:tcPr>
          <w:p w14:paraId="75892DAC"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b/>
                <w:bCs/>
                <w:color w:val="1A1A1A"/>
                <w:sz w:val="20"/>
                <w:szCs w:val="20"/>
              </w:rPr>
              <w:t>64.800</w:t>
            </w:r>
          </w:p>
        </w:tc>
        <w:tc>
          <w:tcPr>
            <w:tcW w:w="0" w:type="auto"/>
            <w:tcBorders>
              <w:bottom w:val="single" w:sz="4" w:space="0" w:color="BFBFBF"/>
            </w:tcBorders>
            <w:noWrap/>
            <w:tcMar>
              <w:top w:w="100" w:type="dxa"/>
              <w:left w:w="140" w:type="dxa"/>
              <w:bottom w:w="100" w:type="dxa"/>
              <w:right w:w="140" w:type="dxa"/>
            </w:tcMar>
            <w:hideMark/>
          </w:tcPr>
          <w:p w14:paraId="2AAA114D"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b/>
                <w:bCs/>
                <w:color w:val="1A1A1A"/>
                <w:sz w:val="20"/>
                <w:szCs w:val="20"/>
              </w:rPr>
              <w:t>108.000</w:t>
            </w:r>
          </w:p>
        </w:tc>
      </w:tr>
      <w:tr w:rsidR="005D680B" w14:paraId="10FF25C4" w14:textId="77777777">
        <w:tc>
          <w:tcPr>
            <w:tcW w:w="0" w:type="auto"/>
            <w:tcBorders>
              <w:top w:val="single" w:sz="8" w:space="0" w:color="1F3864"/>
              <w:bottom w:val="single" w:sz="4" w:space="0" w:color="BFBFBF"/>
            </w:tcBorders>
            <w:shd w:val="clear" w:color="auto" w:fill="DEEAF6"/>
            <w:tcMar>
              <w:top w:w="100" w:type="dxa"/>
              <w:left w:w="140" w:type="dxa"/>
              <w:bottom w:w="100" w:type="dxa"/>
              <w:right w:w="140" w:type="dxa"/>
            </w:tcMar>
            <w:hideMark/>
          </w:tcPr>
          <w:p w14:paraId="4E4FD2ED" w14:textId="77777777" w:rsidR="005664FB" w:rsidRDefault="005664FB">
            <w:pPr>
              <w:spacing w:before="160" w:after="240"/>
              <w:rPr>
                <w:rFonts w:ascii="Calibri" w:eastAsia="Times New Roman" w:hAnsi="Calibri" w:cs="Calibri"/>
                <w:b/>
                <w:bCs/>
                <w:color w:val="1A1A1A"/>
                <w:sz w:val="20"/>
                <w:szCs w:val="20"/>
              </w:rPr>
            </w:pPr>
            <w:r>
              <w:rPr>
                <w:rFonts w:ascii="Calibri" w:eastAsia="Times New Roman" w:hAnsi="Calibri" w:cs="Calibri"/>
                <w:b/>
                <w:bCs/>
                <w:color w:val="1A1A1A"/>
                <w:sz w:val="20"/>
                <w:szCs w:val="20"/>
              </w:rPr>
              <w:t>Diferencia contra escenario medio</w:t>
            </w:r>
          </w:p>
        </w:tc>
        <w:tc>
          <w:tcPr>
            <w:tcW w:w="0" w:type="auto"/>
            <w:tcBorders>
              <w:top w:val="single" w:sz="8" w:space="0" w:color="1F3864"/>
              <w:bottom w:val="single" w:sz="4" w:space="0" w:color="BFBFBF"/>
            </w:tcBorders>
            <w:shd w:val="clear" w:color="auto" w:fill="DEEAF6"/>
            <w:noWrap/>
            <w:tcMar>
              <w:top w:w="100" w:type="dxa"/>
              <w:left w:w="140" w:type="dxa"/>
              <w:bottom w:w="100" w:type="dxa"/>
              <w:right w:w="140" w:type="dxa"/>
            </w:tcMar>
            <w:hideMark/>
          </w:tcPr>
          <w:p w14:paraId="675B9CFF" w14:textId="77777777" w:rsidR="005664FB" w:rsidRDefault="005664FB">
            <w:pPr>
              <w:spacing w:before="160" w:after="240"/>
              <w:jc w:val="right"/>
              <w:rPr>
                <w:rFonts w:ascii="Calibri" w:eastAsia="Times New Roman" w:hAnsi="Calibri" w:cs="Calibri"/>
                <w:b/>
                <w:bCs/>
                <w:color w:val="1A1A1A"/>
                <w:sz w:val="20"/>
                <w:szCs w:val="20"/>
              </w:rPr>
            </w:pPr>
            <w:r>
              <w:rPr>
                <w:rFonts w:ascii="Calibri" w:eastAsia="Times New Roman" w:hAnsi="Calibri" w:cs="Calibri"/>
                <w:b/>
                <w:bCs/>
                <w:color w:val="1A1A1A"/>
                <w:sz w:val="20"/>
                <w:szCs w:val="20"/>
              </w:rPr>
              <w:t>− 18.000</w:t>
            </w:r>
          </w:p>
        </w:tc>
        <w:tc>
          <w:tcPr>
            <w:tcW w:w="0" w:type="auto"/>
            <w:tcBorders>
              <w:top w:val="single" w:sz="8" w:space="0" w:color="1F3864"/>
              <w:bottom w:val="single" w:sz="4" w:space="0" w:color="BFBFBF"/>
            </w:tcBorders>
            <w:shd w:val="clear" w:color="auto" w:fill="DEEAF6"/>
            <w:noWrap/>
            <w:tcMar>
              <w:top w:w="100" w:type="dxa"/>
              <w:left w:w="140" w:type="dxa"/>
              <w:bottom w:w="100" w:type="dxa"/>
              <w:right w:w="140" w:type="dxa"/>
            </w:tcMar>
            <w:hideMark/>
          </w:tcPr>
          <w:p w14:paraId="40A2C6BE" w14:textId="77777777" w:rsidR="005664FB" w:rsidRDefault="005664FB">
            <w:pPr>
              <w:spacing w:before="160" w:after="240"/>
              <w:jc w:val="right"/>
              <w:rPr>
                <w:rFonts w:ascii="Calibri" w:eastAsia="Times New Roman" w:hAnsi="Calibri" w:cs="Calibri"/>
                <w:b/>
                <w:bCs/>
                <w:color w:val="1A1A1A"/>
                <w:sz w:val="20"/>
                <w:szCs w:val="20"/>
              </w:rPr>
            </w:pPr>
            <w:r>
              <w:rPr>
                <w:rFonts w:ascii="Calibri" w:eastAsia="Times New Roman" w:hAnsi="Calibri" w:cs="Calibri"/>
                <w:b/>
                <w:bCs/>
                <w:color w:val="1A1A1A"/>
                <w:sz w:val="20"/>
                <w:szCs w:val="20"/>
              </w:rPr>
              <w:t> </w:t>
            </w:r>
          </w:p>
        </w:tc>
        <w:tc>
          <w:tcPr>
            <w:tcW w:w="0" w:type="auto"/>
            <w:tcBorders>
              <w:top w:val="single" w:sz="8" w:space="0" w:color="1F3864"/>
              <w:bottom w:val="single" w:sz="4" w:space="0" w:color="BFBFBF"/>
            </w:tcBorders>
            <w:shd w:val="clear" w:color="auto" w:fill="DEEAF6"/>
            <w:noWrap/>
            <w:tcMar>
              <w:top w:w="100" w:type="dxa"/>
              <w:left w:w="140" w:type="dxa"/>
              <w:bottom w:w="100" w:type="dxa"/>
              <w:right w:w="140" w:type="dxa"/>
            </w:tcMar>
            <w:hideMark/>
          </w:tcPr>
          <w:p w14:paraId="3FAF3446" w14:textId="77777777" w:rsidR="005664FB" w:rsidRDefault="005664FB">
            <w:pPr>
              <w:spacing w:before="160" w:after="240"/>
              <w:jc w:val="right"/>
              <w:rPr>
                <w:rFonts w:ascii="Calibri" w:eastAsia="Times New Roman" w:hAnsi="Calibri" w:cs="Calibri"/>
                <w:b/>
                <w:bCs/>
                <w:color w:val="1A1A1A"/>
                <w:sz w:val="20"/>
                <w:szCs w:val="20"/>
              </w:rPr>
            </w:pPr>
            <w:r>
              <w:rPr>
                <w:rFonts w:ascii="Calibri" w:eastAsia="Times New Roman" w:hAnsi="Calibri" w:cs="Calibri"/>
                <w:b/>
                <w:bCs/>
                <w:color w:val="1A1A1A"/>
                <w:sz w:val="20"/>
                <w:szCs w:val="20"/>
              </w:rPr>
              <w:t>− 18.000</w:t>
            </w:r>
          </w:p>
        </w:tc>
        <w:tc>
          <w:tcPr>
            <w:tcW w:w="0" w:type="auto"/>
            <w:tcBorders>
              <w:top w:val="single" w:sz="8" w:space="0" w:color="1F3864"/>
              <w:bottom w:val="single" w:sz="4" w:space="0" w:color="BFBFBF"/>
            </w:tcBorders>
            <w:shd w:val="clear" w:color="auto" w:fill="DEEAF6"/>
            <w:noWrap/>
            <w:tcMar>
              <w:top w:w="100" w:type="dxa"/>
              <w:left w:w="140" w:type="dxa"/>
              <w:bottom w:w="100" w:type="dxa"/>
              <w:right w:w="140" w:type="dxa"/>
            </w:tcMar>
            <w:hideMark/>
          </w:tcPr>
          <w:p w14:paraId="3F7545AF" w14:textId="77777777" w:rsidR="005664FB" w:rsidRDefault="005664FB">
            <w:pPr>
              <w:spacing w:before="160" w:after="240"/>
              <w:jc w:val="right"/>
              <w:rPr>
                <w:rFonts w:ascii="Calibri" w:eastAsia="Times New Roman" w:hAnsi="Calibri" w:cs="Calibri"/>
                <w:b/>
                <w:bCs/>
                <w:color w:val="1A1A1A"/>
                <w:sz w:val="20"/>
                <w:szCs w:val="20"/>
              </w:rPr>
            </w:pPr>
            <w:r>
              <w:rPr>
                <w:rFonts w:ascii="Calibri" w:eastAsia="Times New Roman" w:hAnsi="Calibri" w:cs="Calibri"/>
                <w:b/>
                <w:bCs/>
                <w:color w:val="1A1A1A"/>
                <w:sz w:val="20"/>
                <w:szCs w:val="20"/>
              </w:rPr>
              <w:t>− 18.000</w:t>
            </w:r>
          </w:p>
        </w:tc>
      </w:tr>
    </w:tbl>
    <w:p w14:paraId="275885DB"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t xml:space="preserve">A tres años el módulo resulta más conveniente en todos los escenarios: </w:t>
      </w:r>
      <w:r>
        <w:rPr>
          <w:rFonts w:ascii="Calibri" w:hAnsi="Calibri" w:cs="Calibri"/>
          <w:b/>
          <w:bCs/>
          <w:color w:val="1A1A1A"/>
          <w:sz w:val="22"/>
          <w:szCs w:val="22"/>
        </w:rPr>
        <w:t>USD 2.400</w:t>
      </w:r>
      <w:r>
        <w:rPr>
          <w:rFonts w:ascii="Calibri" w:hAnsi="Calibri" w:cs="Calibri"/>
          <w:color w:val="1A1A1A"/>
          <w:sz w:val="22"/>
          <w:szCs w:val="22"/>
        </w:rPr>
        <w:t xml:space="preserve"> contra el precio de lista, </w:t>
      </w:r>
      <w:r>
        <w:rPr>
          <w:rFonts w:ascii="Calibri" w:hAnsi="Calibri" w:cs="Calibri"/>
          <w:b/>
          <w:bCs/>
          <w:color w:val="1A1A1A"/>
          <w:sz w:val="22"/>
          <w:szCs w:val="22"/>
        </w:rPr>
        <w:t>USD 9.600</w:t>
      </w:r>
      <w:r>
        <w:rPr>
          <w:rFonts w:ascii="Calibri" w:hAnsi="Calibri" w:cs="Calibri"/>
          <w:color w:val="1A1A1A"/>
          <w:sz w:val="22"/>
          <w:szCs w:val="22"/>
        </w:rPr>
        <w:t xml:space="preserve"> en el escenario bajo, </w:t>
      </w:r>
      <w:r>
        <w:rPr>
          <w:rFonts w:ascii="Calibri" w:hAnsi="Calibri" w:cs="Calibri"/>
          <w:b/>
          <w:bCs/>
          <w:color w:val="1A1A1A"/>
          <w:sz w:val="22"/>
          <w:szCs w:val="22"/>
        </w:rPr>
        <w:t>USD 18.000</w:t>
      </w:r>
      <w:r>
        <w:rPr>
          <w:rFonts w:ascii="Calibri" w:hAnsi="Calibri" w:cs="Calibri"/>
          <w:color w:val="1A1A1A"/>
          <w:sz w:val="22"/>
          <w:szCs w:val="22"/>
        </w:rPr>
        <w:t xml:space="preserve"> en el medio y </w:t>
      </w:r>
      <w:r>
        <w:rPr>
          <w:rFonts w:ascii="Calibri" w:hAnsi="Calibri" w:cs="Calibri"/>
          <w:b/>
          <w:bCs/>
          <w:color w:val="1A1A1A"/>
          <w:sz w:val="22"/>
          <w:szCs w:val="22"/>
        </w:rPr>
        <w:t>USD 39.600</w:t>
      </w:r>
      <w:r>
        <w:rPr>
          <w:rFonts w:ascii="Calibri" w:hAnsi="Calibri" w:cs="Calibri"/>
          <w:color w:val="1A1A1A"/>
          <w:sz w:val="22"/>
          <w:szCs w:val="22"/>
        </w:rPr>
        <w:t xml:space="preserve"> en el alto.</w:t>
      </w:r>
    </w:p>
    <w:p w14:paraId="0A13D823" w14:textId="77777777" w:rsidR="005664FB" w:rsidRDefault="005664FB">
      <w:pPr>
        <w:pStyle w:val="NormalWeb"/>
        <w:rPr>
          <w:rFonts w:ascii="Calibri" w:hAnsi="Calibri" w:cs="Calibri"/>
          <w:color w:val="1A1A1A"/>
          <w:sz w:val="22"/>
          <w:szCs w:val="22"/>
        </w:rPr>
      </w:pPr>
      <w:r>
        <w:rPr>
          <w:rFonts w:ascii="Calibri" w:hAnsi="Calibri" w:cs="Calibri"/>
          <w:color w:val="1A1A1A"/>
          <w:sz w:val="22"/>
          <w:szCs w:val="22"/>
        </w:rPr>
        <w:t xml:space="preserve">A cinco años la comparación depende enteramente del consumo de horas: el módulo resulta </w:t>
      </w:r>
      <w:r>
        <w:rPr>
          <w:rFonts w:ascii="Calibri" w:hAnsi="Calibri" w:cs="Calibri"/>
          <w:b/>
          <w:bCs/>
          <w:color w:val="1A1A1A"/>
          <w:sz w:val="22"/>
          <w:szCs w:val="22"/>
        </w:rPr>
        <w:t>USD 2.400</w:t>
      </w:r>
      <w:r>
        <w:rPr>
          <w:rFonts w:ascii="Calibri" w:hAnsi="Calibri" w:cs="Calibri"/>
          <w:color w:val="1A1A1A"/>
          <w:sz w:val="22"/>
          <w:szCs w:val="22"/>
        </w:rPr>
        <w:t xml:space="preserve"> más conveniente en el escenario bajo, </w:t>
      </w:r>
      <w:r>
        <w:rPr>
          <w:rFonts w:ascii="Calibri" w:hAnsi="Calibri" w:cs="Calibri"/>
          <w:b/>
          <w:bCs/>
          <w:color w:val="1A1A1A"/>
          <w:sz w:val="22"/>
          <w:szCs w:val="22"/>
        </w:rPr>
        <w:t>USD 18.000</w:t>
      </w:r>
      <w:r>
        <w:rPr>
          <w:rFonts w:ascii="Calibri" w:hAnsi="Calibri" w:cs="Calibri"/>
          <w:color w:val="1A1A1A"/>
          <w:sz w:val="22"/>
          <w:szCs w:val="22"/>
        </w:rPr>
        <w:t xml:space="preserve"> en el medio y </w:t>
      </w:r>
      <w:r>
        <w:rPr>
          <w:rFonts w:ascii="Calibri" w:hAnsi="Calibri" w:cs="Calibri"/>
          <w:b/>
          <w:bCs/>
          <w:color w:val="1A1A1A"/>
          <w:sz w:val="22"/>
          <w:szCs w:val="22"/>
        </w:rPr>
        <w:t>USD 54.000</w:t>
      </w:r>
      <w:r>
        <w:rPr>
          <w:rFonts w:ascii="Calibri" w:hAnsi="Calibri" w:cs="Calibri"/>
          <w:color w:val="1A1A1A"/>
          <w:sz w:val="22"/>
          <w:szCs w:val="22"/>
        </w:rPr>
        <w:t xml:space="preserve"> en el alto. La única hipótesis en la que la alternativa </w:t>
      </w:r>
      <w:proofErr w:type="spellStart"/>
      <w:r>
        <w:rPr>
          <w:rFonts w:ascii="Calibri" w:hAnsi="Calibri" w:cs="Calibri"/>
          <w:color w:val="1A1A1A"/>
          <w:sz w:val="22"/>
          <w:szCs w:val="22"/>
        </w:rPr>
        <w:t>cloud</w:t>
      </w:r>
      <w:proofErr w:type="spellEnd"/>
      <w:r>
        <w:rPr>
          <w:rFonts w:ascii="Calibri" w:hAnsi="Calibri" w:cs="Calibri"/>
          <w:color w:val="1A1A1A"/>
          <w:sz w:val="22"/>
          <w:szCs w:val="22"/>
        </w:rPr>
        <w:t xml:space="preserve"> resulta menor es la de </w:t>
      </w:r>
      <w:r>
        <w:rPr>
          <w:rFonts w:ascii="Calibri" w:hAnsi="Calibri" w:cs="Calibri"/>
          <w:b/>
          <w:bCs/>
          <w:color w:val="1A1A1A"/>
          <w:sz w:val="22"/>
          <w:szCs w:val="22"/>
        </w:rPr>
        <w:t>cero horas de adaptación durante cinco años</w:t>
      </w:r>
      <w:r>
        <w:rPr>
          <w:rFonts w:ascii="Calibri" w:hAnsi="Calibri" w:cs="Calibri"/>
          <w:color w:val="1A1A1A"/>
          <w:sz w:val="22"/>
          <w:szCs w:val="22"/>
        </w:rPr>
        <w:t>, que no se corresponde con la evolución esperable de una liquidación pesquera.</w:t>
      </w:r>
    </w:p>
    <w:p w14:paraId="36576552" w14:textId="1AD9956A" w:rsidR="005664FB" w:rsidRDefault="005664FB">
      <w:pPr>
        <w:shd w:val="clear" w:color="auto" w:fill="F2F5FA"/>
        <w:spacing w:before="200" w:after="200"/>
        <w:divId w:val="1692871885"/>
        <w:rPr>
          <w:rFonts w:ascii="Calibri" w:eastAsia="Times New Roman" w:hAnsi="Calibri" w:cs="Calibri"/>
          <w:color w:val="1A1A1A"/>
          <w:sz w:val="22"/>
          <w:szCs w:val="22"/>
        </w:rPr>
      </w:pPr>
      <w:r>
        <w:rPr>
          <w:rFonts w:ascii="Calibri" w:eastAsia="Times New Roman" w:hAnsi="Calibri" w:cs="Calibri"/>
          <w:b/>
          <w:bCs/>
          <w:color w:val="1A1A1A"/>
          <w:sz w:val="22"/>
          <w:szCs w:val="22"/>
        </w:rPr>
        <w:t>El abono equivale a</w:t>
      </w:r>
      <w:r w:rsidR="00B17F31">
        <w:rPr>
          <w:rFonts w:ascii="Calibri" w:eastAsia="Times New Roman" w:hAnsi="Calibri" w:cs="Calibri"/>
          <w:b/>
          <w:bCs/>
          <w:color w:val="1A1A1A"/>
          <w:sz w:val="22"/>
          <w:szCs w:val="22"/>
        </w:rPr>
        <w:t>l</w:t>
      </w:r>
      <w:r>
        <w:rPr>
          <w:rFonts w:ascii="Calibri" w:eastAsia="Times New Roman" w:hAnsi="Calibri" w:cs="Calibri"/>
          <w:b/>
          <w:bCs/>
          <w:color w:val="1A1A1A"/>
          <w:sz w:val="22"/>
          <w:szCs w:val="22"/>
        </w:rPr>
        <w:t xml:space="preserve"> </w:t>
      </w:r>
      <w:r w:rsidR="00B17F31">
        <w:rPr>
          <w:rFonts w:ascii="Calibri" w:eastAsia="Times New Roman" w:hAnsi="Calibri" w:cs="Calibri"/>
          <w:b/>
          <w:bCs/>
          <w:color w:val="1A1A1A"/>
          <w:sz w:val="22"/>
          <w:szCs w:val="22"/>
        </w:rPr>
        <w:t>a</w:t>
      </w:r>
      <w:r w:rsidR="00D10A5C">
        <w:rPr>
          <w:rFonts w:ascii="Calibri" w:eastAsia="Times New Roman" w:hAnsi="Calibri" w:cs="Calibri"/>
          <w:b/>
          <w:bCs/>
          <w:color w:val="1A1A1A"/>
          <w:sz w:val="22"/>
          <w:szCs w:val="22"/>
        </w:rPr>
        <w:t>bono</w:t>
      </w:r>
      <w:r>
        <w:rPr>
          <w:rFonts w:ascii="Calibri" w:eastAsia="Times New Roman" w:hAnsi="Calibri" w:cs="Calibri"/>
          <w:b/>
          <w:bCs/>
          <w:color w:val="1A1A1A"/>
          <w:sz w:val="22"/>
          <w:szCs w:val="22"/>
        </w:rPr>
        <w:t xml:space="preserve"> más las horas, cerrado.</w:t>
      </w:r>
      <w:r>
        <w:rPr>
          <w:rFonts w:ascii="Calibri" w:eastAsia="Times New Roman" w:hAnsi="Calibri" w:cs="Calibri"/>
          <w:color w:val="1A1A1A"/>
          <w:sz w:val="22"/>
          <w:szCs w:val="22"/>
        </w:rPr>
        <w:t xml:space="preserve"> </w:t>
      </w:r>
      <w:r w:rsidR="00D10A5C">
        <w:rPr>
          <w:rFonts w:ascii="Calibri" w:eastAsia="Times New Roman" w:hAnsi="Calibri" w:cs="Calibri"/>
          <w:color w:val="1A1A1A"/>
          <w:sz w:val="22"/>
          <w:szCs w:val="22"/>
        </w:rPr>
        <w:t xml:space="preserve">El abono </w:t>
      </w:r>
      <w:proofErr w:type="spellStart"/>
      <w:r>
        <w:rPr>
          <w:rFonts w:ascii="Calibri" w:eastAsia="Times New Roman" w:hAnsi="Calibri" w:cs="Calibri"/>
          <w:color w:val="1A1A1A"/>
          <w:sz w:val="22"/>
          <w:szCs w:val="22"/>
        </w:rPr>
        <w:t>cloud</w:t>
      </w:r>
      <w:proofErr w:type="spellEnd"/>
      <w:r>
        <w:rPr>
          <w:rFonts w:ascii="Calibri" w:eastAsia="Times New Roman" w:hAnsi="Calibri" w:cs="Calibri"/>
          <w:color w:val="1A1A1A"/>
          <w:sz w:val="22"/>
          <w:szCs w:val="22"/>
        </w:rPr>
        <w:t xml:space="preserve"> es de USD 1.200 mensuales y 10 horas a su propia tarifa de USD 60 suman USD 600: exactamente los USD 1.800 del abono integral. La diferencia no está en el precio, sino en que aquí ese costo es fijo y previsible, mientras que del otro lado es variable y se factura una vez agotadas las 100 horas del primer año. </w:t>
      </w:r>
    </w:p>
    <w:p w14:paraId="51D6D3E1" w14:textId="77777777" w:rsidR="005664FB" w:rsidRDefault="005664FB">
      <w:pPr>
        <w:pStyle w:val="Ttulo3"/>
        <w:rPr>
          <w:rFonts w:ascii="Calibri" w:eastAsia="Times New Roman" w:hAnsi="Calibri" w:cs="Calibri"/>
        </w:rPr>
      </w:pPr>
      <w:r>
        <w:rPr>
          <w:rFonts w:ascii="Calibri" w:eastAsia="Times New Roman" w:hAnsi="Calibri" w:cs="Calibri"/>
        </w:rPr>
        <w:t>7.4 El efecto de la dotación</w:t>
      </w:r>
    </w:p>
    <w:p w14:paraId="398B3774" w14:textId="6743886C" w:rsidR="005664FB" w:rsidRDefault="00D10A5C">
      <w:pPr>
        <w:pStyle w:val="NormalWeb"/>
        <w:rPr>
          <w:rFonts w:ascii="Calibri" w:hAnsi="Calibri" w:cs="Calibri"/>
          <w:color w:val="1A1A1A"/>
          <w:sz w:val="22"/>
          <w:szCs w:val="22"/>
        </w:rPr>
      </w:pPr>
      <w:r>
        <w:rPr>
          <w:rFonts w:ascii="Calibri" w:hAnsi="Calibri" w:cs="Calibri"/>
          <w:color w:val="1A1A1A"/>
          <w:sz w:val="22"/>
          <w:szCs w:val="22"/>
        </w:rPr>
        <w:t xml:space="preserve">El abono </w:t>
      </w:r>
      <w:proofErr w:type="spellStart"/>
      <w:r w:rsidR="005664FB">
        <w:rPr>
          <w:rFonts w:ascii="Calibri" w:hAnsi="Calibri" w:cs="Calibri"/>
          <w:color w:val="1A1A1A"/>
          <w:sz w:val="22"/>
          <w:szCs w:val="22"/>
        </w:rPr>
        <w:t>cloud</w:t>
      </w:r>
      <w:proofErr w:type="spellEnd"/>
      <w:r w:rsidR="005664FB">
        <w:rPr>
          <w:rFonts w:ascii="Calibri" w:hAnsi="Calibri" w:cs="Calibri"/>
          <w:color w:val="1A1A1A"/>
          <w:sz w:val="22"/>
          <w:szCs w:val="22"/>
        </w:rPr>
        <w:t xml:space="preserve"> se calcula </w:t>
      </w:r>
      <w:r w:rsidR="005664FB">
        <w:rPr>
          <w:rFonts w:ascii="Calibri" w:hAnsi="Calibri" w:cs="Calibri"/>
          <w:b/>
          <w:bCs/>
          <w:color w:val="1A1A1A"/>
          <w:sz w:val="22"/>
          <w:szCs w:val="22"/>
        </w:rPr>
        <w:t>por empleado activo</w:t>
      </w:r>
      <w:r w:rsidR="005664FB">
        <w:rPr>
          <w:rFonts w:ascii="Calibri" w:hAnsi="Calibri" w:cs="Calibri"/>
          <w:color w:val="1A1A1A"/>
          <w:sz w:val="22"/>
          <w:szCs w:val="22"/>
        </w:rPr>
        <w:t>. El abono del módulo es fijo. La comparación, por lo tanto, se desplaza a favor del módulo a medida que crece la nómina:</w:t>
      </w:r>
    </w:p>
    <w:tbl>
      <w:tblPr>
        <w:tblW w:w="5000" w:type="pct"/>
        <w:tblCellMar>
          <w:top w:w="15" w:type="dxa"/>
          <w:left w:w="15" w:type="dxa"/>
          <w:bottom w:w="15" w:type="dxa"/>
          <w:right w:w="15" w:type="dxa"/>
        </w:tblCellMar>
        <w:tblLook w:val="04A0" w:firstRow="1" w:lastRow="0" w:firstColumn="1" w:lastColumn="0" w:noHBand="0" w:noVBand="1"/>
      </w:tblPr>
      <w:tblGrid>
        <w:gridCol w:w="2891"/>
        <w:gridCol w:w="1871"/>
        <w:gridCol w:w="1871"/>
        <w:gridCol w:w="1871"/>
      </w:tblGrid>
      <w:tr w:rsidR="005D680B" w14:paraId="2B68FA4C" w14:textId="77777777">
        <w:tc>
          <w:tcPr>
            <w:tcW w:w="1700" w:type="pct"/>
            <w:shd w:val="clear" w:color="auto" w:fill="1F3864"/>
            <w:tcMar>
              <w:top w:w="100" w:type="dxa"/>
              <w:left w:w="140" w:type="dxa"/>
              <w:bottom w:w="100" w:type="dxa"/>
              <w:right w:w="140" w:type="dxa"/>
            </w:tcMar>
            <w:vAlign w:val="center"/>
            <w:hideMark/>
          </w:tcPr>
          <w:p w14:paraId="2CDB3961"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Empleados activos</w:t>
            </w:r>
          </w:p>
        </w:tc>
        <w:tc>
          <w:tcPr>
            <w:tcW w:w="1100" w:type="pct"/>
            <w:shd w:val="clear" w:color="auto" w:fill="1F3864"/>
            <w:tcMar>
              <w:top w:w="100" w:type="dxa"/>
              <w:left w:w="140" w:type="dxa"/>
              <w:bottom w:w="100" w:type="dxa"/>
              <w:right w:w="140" w:type="dxa"/>
            </w:tcMar>
            <w:vAlign w:val="center"/>
            <w:hideMark/>
          </w:tcPr>
          <w:p w14:paraId="713508B7" w14:textId="061227DF" w:rsidR="005664FB" w:rsidRDefault="00D10A5C">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Abono</w:t>
            </w:r>
            <w:r w:rsidR="005664FB">
              <w:rPr>
                <w:rFonts w:ascii="Calibri" w:eastAsia="Times New Roman" w:hAnsi="Calibri" w:cs="Calibri"/>
                <w:b/>
                <w:bCs/>
                <w:color w:val="FFFFFF"/>
                <w:sz w:val="20"/>
                <w:szCs w:val="20"/>
              </w:rPr>
              <w:t xml:space="preserve"> </w:t>
            </w:r>
            <w:proofErr w:type="spellStart"/>
            <w:r w:rsidR="005664FB">
              <w:rPr>
                <w:rFonts w:ascii="Calibri" w:eastAsia="Times New Roman" w:hAnsi="Calibri" w:cs="Calibri"/>
                <w:b/>
                <w:bCs/>
                <w:color w:val="FFFFFF"/>
                <w:sz w:val="20"/>
                <w:szCs w:val="20"/>
              </w:rPr>
              <w:t>cloud</w:t>
            </w:r>
            <w:proofErr w:type="spellEnd"/>
            <w:r w:rsidR="005664FB">
              <w:rPr>
                <w:rFonts w:ascii="Calibri" w:eastAsia="Times New Roman" w:hAnsi="Calibri" w:cs="Calibri"/>
                <w:b/>
                <w:bCs/>
                <w:color w:val="FFFFFF"/>
                <w:sz w:val="20"/>
                <w:szCs w:val="20"/>
              </w:rPr>
              <w:t xml:space="preserve"> mensual</w:t>
            </w:r>
          </w:p>
        </w:tc>
        <w:tc>
          <w:tcPr>
            <w:tcW w:w="1100" w:type="pct"/>
            <w:shd w:val="clear" w:color="auto" w:fill="1F3864"/>
            <w:tcMar>
              <w:top w:w="100" w:type="dxa"/>
              <w:left w:w="140" w:type="dxa"/>
              <w:bottom w:w="100" w:type="dxa"/>
              <w:right w:w="140" w:type="dxa"/>
            </w:tcMar>
            <w:vAlign w:val="center"/>
            <w:hideMark/>
          </w:tcPr>
          <w:p w14:paraId="1A9C4374"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Abono del módulo</w:t>
            </w:r>
          </w:p>
        </w:tc>
        <w:tc>
          <w:tcPr>
            <w:tcW w:w="1100" w:type="pct"/>
            <w:shd w:val="clear" w:color="auto" w:fill="1F3864"/>
            <w:tcMar>
              <w:top w:w="100" w:type="dxa"/>
              <w:left w:w="140" w:type="dxa"/>
              <w:bottom w:w="100" w:type="dxa"/>
              <w:right w:w="140" w:type="dxa"/>
            </w:tcMar>
            <w:vAlign w:val="center"/>
            <w:hideMark/>
          </w:tcPr>
          <w:p w14:paraId="77D46D10"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Diferencia mensual</w:t>
            </w:r>
          </w:p>
        </w:tc>
      </w:tr>
      <w:tr w:rsidR="005D680B" w14:paraId="0CF15863" w14:textId="77777777">
        <w:tc>
          <w:tcPr>
            <w:tcW w:w="0" w:type="auto"/>
            <w:tcBorders>
              <w:bottom w:val="single" w:sz="4" w:space="0" w:color="BFBFBF"/>
            </w:tcBorders>
            <w:tcMar>
              <w:top w:w="100" w:type="dxa"/>
              <w:left w:w="140" w:type="dxa"/>
              <w:bottom w:w="100" w:type="dxa"/>
              <w:right w:w="140" w:type="dxa"/>
            </w:tcMar>
            <w:hideMark/>
          </w:tcPr>
          <w:p w14:paraId="7556F645"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300</w:t>
            </w:r>
          </w:p>
        </w:tc>
        <w:tc>
          <w:tcPr>
            <w:tcW w:w="0" w:type="auto"/>
            <w:tcBorders>
              <w:bottom w:val="single" w:sz="4" w:space="0" w:color="BFBFBF"/>
            </w:tcBorders>
            <w:noWrap/>
            <w:tcMar>
              <w:top w:w="100" w:type="dxa"/>
              <w:left w:w="140" w:type="dxa"/>
              <w:bottom w:w="100" w:type="dxa"/>
              <w:right w:w="140" w:type="dxa"/>
            </w:tcMar>
            <w:hideMark/>
          </w:tcPr>
          <w:p w14:paraId="2432ABE8"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1.200</w:t>
            </w:r>
          </w:p>
        </w:tc>
        <w:tc>
          <w:tcPr>
            <w:tcW w:w="0" w:type="auto"/>
            <w:tcBorders>
              <w:bottom w:val="single" w:sz="4" w:space="0" w:color="BFBFBF"/>
            </w:tcBorders>
            <w:noWrap/>
            <w:tcMar>
              <w:top w:w="100" w:type="dxa"/>
              <w:left w:w="140" w:type="dxa"/>
              <w:bottom w:w="100" w:type="dxa"/>
              <w:right w:w="140" w:type="dxa"/>
            </w:tcMar>
            <w:hideMark/>
          </w:tcPr>
          <w:p w14:paraId="46F99A0E"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1.800</w:t>
            </w:r>
          </w:p>
        </w:tc>
        <w:tc>
          <w:tcPr>
            <w:tcW w:w="0" w:type="auto"/>
            <w:tcBorders>
              <w:bottom w:val="single" w:sz="4" w:space="0" w:color="BFBFBF"/>
            </w:tcBorders>
            <w:noWrap/>
            <w:tcMar>
              <w:top w:w="100" w:type="dxa"/>
              <w:left w:w="140" w:type="dxa"/>
              <w:bottom w:w="100" w:type="dxa"/>
              <w:right w:w="140" w:type="dxa"/>
            </w:tcMar>
            <w:hideMark/>
          </w:tcPr>
          <w:p w14:paraId="7097DC75"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+ 600</w:t>
            </w:r>
          </w:p>
        </w:tc>
      </w:tr>
      <w:tr w:rsidR="005D680B" w14:paraId="1241F975" w14:textId="77777777">
        <w:tc>
          <w:tcPr>
            <w:tcW w:w="0" w:type="auto"/>
            <w:tcBorders>
              <w:bottom w:val="single" w:sz="4" w:space="0" w:color="BFBFBF"/>
            </w:tcBorders>
            <w:tcMar>
              <w:top w:w="100" w:type="dxa"/>
              <w:left w:w="140" w:type="dxa"/>
              <w:bottom w:w="100" w:type="dxa"/>
              <w:right w:w="140" w:type="dxa"/>
            </w:tcMar>
            <w:hideMark/>
          </w:tcPr>
          <w:p w14:paraId="21D88663"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450</w:t>
            </w:r>
          </w:p>
        </w:tc>
        <w:tc>
          <w:tcPr>
            <w:tcW w:w="0" w:type="auto"/>
            <w:tcBorders>
              <w:bottom w:val="single" w:sz="4" w:space="0" w:color="BFBFBF"/>
            </w:tcBorders>
            <w:noWrap/>
            <w:tcMar>
              <w:top w:w="100" w:type="dxa"/>
              <w:left w:w="140" w:type="dxa"/>
              <w:bottom w:w="100" w:type="dxa"/>
              <w:right w:w="140" w:type="dxa"/>
            </w:tcMar>
            <w:hideMark/>
          </w:tcPr>
          <w:p w14:paraId="0AA85531"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1.800</w:t>
            </w:r>
          </w:p>
        </w:tc>
        <w:tc>
          <w:tcPr>
            <w:tcW w:w="0" w:type="auto"/>
            <w:tcBorders>
              <w:bottom w:val="single" w:sz="4" w:space="0" w:color="BFBFBF"/>
            </w:tcBorders>
            <w:noWrap/>
            <w:tcMar>
              <w:top w:w="100" w:type="dxa"/>
              <w:left w:w="140" w:type="dxa"/>
              <w:bottom w:w="100" w:type="dxa"/>
              <w:right w:w="140" w:type="dxa"/>
            </w:tcMar>
            <w:hideMark/>
          </w:tcPr>
          <w:p w14:paraId="76D8E861"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1.800</w:t>
            </w:r>
          </w:p>
        </w:tc>
        <w:tc>
          <w:tcPr>
            <w:tcW w:w="0" w:type="auto"/>
            <w:tcBorders>
              <w:bottom w:val="single" w:sz="4" w:space="0" w:color="BFBFBF"/>
            </w:tcBorders>
            <w:noWrap/>
            <w:tcMar>
              <w:top w:w="100" w:type="dxa"/>
              <w:left w:w="140" w:type="dxa"/>
              <w:bottom w:w="100" w:type="dxa"/>
              <w:right w:w="140" w:type="dxa"/>
            </w:tcMar>
            <w:hideMark/>
          </w:tcPr>
          <w:p w14:paraId="7A57B830"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0</w:t>
            </w:r>
          </w:p>
        </w:tc>
      </w:tr>
      <w:tr w:rsidR="005D680B" w14:paraId="6563B569" w14:textId="77777777">
        <w:tc>
          <w:tcPr>
            <w:tcW w:w="0" w:type="auto"/>
            <w:tcBorders>
              <w:bottom w:val="single" w:sz="4" w:space="0" w:color="BFBFBF"/>
            </w:tcBorders>
            <w:tcMar>
              <w:top w:w="100" w:type="dxa"/>
              <w:left w:w="140" w:type="dxa"/>
              <w:bottom w:w="100" w:type="dxa"/>
              <w:right w:w="140" w:type="dxa"/>
            </w:tcMar>
            <w:hideMark/>
          </w:tcPr>
          <w:p w14:paraId="080BC643"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600</w:t>
            </w:r>
          </w:p>
        </w:tc>
        <w:tc>
          <w:tcPr>
            <w:tcW w:w="0" w:type="auto"/>
            <w:tcBorders>
              <w:bottom w:val="single" w:sz="4" w:space="0" w:color="BFBFBF"/>
            </w:tcBorders>
            <w:noWrap/>
            <w:tcMar>
              <w:top w:w="100" w:type="dxa"/>
              <w:left w:w="140" w:type="dxa"/>
              <w:bottom w:w="100" w:type="dxa"/>
              <w:right w:w="140" w:type="dxa"/>
            </w:tcMar>
            <w:hideMark/>
          </w:tcPr>
          <w:p w14:paraId="46C1BA20" w14:textId="21F13211"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2.</w:t>
            </w:r>
            <w:r w:rsidR="00A46241">
              <w:rPr>
                <w:rFonts w:ascii="Calibri" w:eastAsia="Times New Roman" w:hAnsi="Calibri" w:cs="Calibri"/>
                <w:color w:val="1A1A1A"/>
                <w:sz w:val="20"/>
                <w:szCs w:val="20"/>
              </w:rPr>
              <w:t>1</w:t>
            </w:r>
            <w:r>
              <w:rPr>
                <w:rFonts w:ascii="Calibri" w:eastAsia="Times New Roman" w:hAnsi="Calibri" w:cs="Calibri"/>
                <w:color w:val="1A1A1A"/>
                <w:sz w:val="20"/>
                <w:szCs w:val="20"/>
              </w:rPr>
              <w:t>00</w:t>
            </w:r>
          </w:p>
        </w:tc>
        <w:tc>
          <w:tcPr>
            <w:tcW w:w="0" w:type="auto"/>
            <w:tcBorders>
              <w:bottom w:val="single" w:sz="4" w:space="0" w:color="BFBFBF"/>
            </w:tcBorders>
            <w:noWrap/>
            <w:tcMar>
              <w:top w:w="100" w:type="dxa"/>
              <w:left w:w="140" w:type="dxa"/>
              <w:bottom w:w="100" w:type="dxa"/>
              <w:right w:w="140" w:type="dxa"/>
            </w:tcMar>
            <w:hideMark/>
          </w:tcPr>
          <w:p w14:paraId="110E49E6"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USD 1.800</w:t>
            </w:r>
          </w:p>
        </w:tc>
        <w:tc>
          <w:tcPr>
            <w:tcW w:w="0" w:type="auto"/>
            <w:tcBorders>
              <w:bottom w:val="single" w:sz="4" w:space="0" w:color="BFBFBF"/>
            </w:tcBorders>
            <w:noWrap/>
            <w:tcMar>
              <w:top w:w="100" w:type="dxa"/>
              <w:left w:w="140" w:type="dxa"/>
              <w:bottom w:w="100" w:type="dxa"/>
              <w:right w:w="140" w:type="dxa"/>
            </w:tcMar>
            <w:hideMark/>
          </w:tcPr>
          <w:p w14:paraId="6C35C216" w14:textId="77777777" w:rsidR="005664FB" w:rsidRDefault="005664FB">
            <w:pPr>
              <w:spacing w:before="16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− 600</w:t>
            </w:r>
          </w:p>
        </w:tc>
      </w:tr>
      <w:tr w:rsidR="005D680B" w14:paraId="156C557F" w14:textId="77777777">
        <w:tc>
          <w:tcPr>
            <w:tcW w:w="0" w:type="auto"/>
            <w:tcBorders>
              <w:top w:val="single" w:sz="8" w:space="0" w:color="1F3864"/>
              <w:bottom w:val="single" w:sz="4" w:space="0" w:color="BFBFBF"/>
            </w:tcBorders>
            <w:shd w:val="clear" w:color="auto" w:fill="DEEAF6"/>
            <w:tcMar>
              <w:top w:w="100" w:type="dxa"/>
              <w:left w:w="140" w:type="dxa"/>
              <w:bottom w:w="100" w:type="dxa"/>
              <w:right w:w="140" w:type="dxa"/>
            </w:tcMar>
            <w:hideMark/>
          </w:tcPr>
          <w:p w14:paraId="3D335AE1" w14:textId="77777777" w:rsidR="005664FB" w:rsidRDefault="005664FB">
            <w:pPr>
              <w:spacing w:before="160" w:after="240"/>
              <w:rPr>
                <w:rFonts w:ascii="Calibri" w:eastAsia="Times New Roman" w:hAnsi="Calibri" w:cs="Calibri"/>
                <w:b/>
                <w:bCs/>
                <w:color w:val="1A1A1A"/>
                <w:sz w:val="20"/>
                <w:szCs w:val="20"/>
              </w:rPr>
            </w:pPr>
            <w:r>
              <w:rPr>
                <w:rFonts w:ascii="Calibri" w:eastAsia="Times New Roman" w:hAnsi="Calibri" w:cs="Calibri"/>
                <w:b/>
                <w:bCs/>
                <w:color w:val="1A1A1A"/>
                <w:sz w:val="20"/>
                <w:szCs w:val="20"/>
              </w:rPr>
              <w:t>750</w:t>
            </w:r>
          </w:p>
        </w:tc>
        <w:tc>
          <w:tcPr>
            <w:tcW w:w="0" w:type="auto"/>
            <w:tcBorders>
              <w:top w:val="single" w:sz="8" w:space="0" w:color="1F3864"/>
              <w:bottom w:val="single" w:sz="4" w:space="0" w:color="BFBFBF"/>
            </w:tcBorders>
            <w:shd w:val="clear" w:color="auto" w:fill="DEEAF6"/>
            <w:noWrap/>
            <w:tcMar>
              <w:top w:w="100" w:type="dxa"/>
              <w:left w:w="140" w:type="dxa"/>
              <w:bottom w:w="100" w:type="dxa"/>
              <w:right w:w="140" w:type="dxa"/>
            </w:tcMar>
            <w:hideMark/>
          </w:tcPr>
          <w:p w14:paraId="76324C7E" w14:textId="77777777" w:rsidR="005664FB" w:rsidRDefault="005664FB">
            <w:pPr>
              <w:spacing w:before="160" w:after="240"/>
              <w:jc w:val="right"/>
              <w:rPr>
                <w:rFonts w:ascii="Calibri" w:eastAsia="Times New Roman" w:hAnsi="Calibri" w:cs="Calibri"/>
                <w:b/>
                <w:bCs/>
                <w:color w:val="1A1A1A"/>
                <w:sz w:val="20"/>
                <w:szCs w:val="20"/>
              </w:rPr>
            </w:pPr>
            <w:r>
              <w:rPr>
                <w:rFonts w:ascii="Calibri" w:eastAsia="Times New Roman" w:hAnsi="Calibri" w:cs="Calibri"/>
                <w:b/>
                <w:bCs/>
                <w:color w:val="1A1A1A"/>
                <w:sz w:val="20"/>
                <w:szCs w:val="20"/>
              </w:rPr>
              <w:t>USD 2.625</w:t>
            </w:r>
          </w:p>
        </w:tc>
        <w:tc>
          <w:tcPr>
            <w:tcW w:w="0" w:type="auto"/>
            <w:tcBorders>
              <w:top w:val="single" w:sz="8" w:space="0" w:color="1F3864"/>
              <w:bottom w:val="single" w:sz="4" w:space="0" w:color="BFBFBF"/>
            </w:tcBorders>
            <w:shd w:val="clear" w:color="auto" w:fill="DEEAF6"/>
            <w:noWrap/>
            <w:tcMar>
              <w:top w:w="100" w:type="dxa"/>
              <w:left w:w="140" w:type="dxa"/>
              <w:bottom w:w="100" w:type="dxa"/>
              <w:right w:w="140" w:type="dxa"/>
            </w:tcMar>
            <w:hideMark/>
          </w:tcPr>
          <w:p w14:paraId="02AD670D" w14:textId="77777777" w:rsidR="005664FB" w:rsidRDefault="005664FB">
            <w:pPr>
              <w:spacing w:before="160" w:after="240"/>
              <w:jc w:val="right"/>
              <w:rPr>
                <w:rFonts w:ascii="Calibri" w:eastAsia="Times New Roman" w:hAnsi="Calibri" w:cs="Calibri"/>
                <w:b/>
                <w:bCs/>
                <w:color w:val="1A1A1A"/>
                <w:sz w:val="20"/>
                <w:szCs w:val="20"/>
              </w:rPr>
            </w:pPr>
            <w:r>
              <w:rPr>
                <w:rFonts w:ascii="Calibri" w:eastAsia="Times New Roman" w:hAnsi="Calibri" w:cs="Calibri"/>
                <w:b/>
                <w:bCs/>
                <w:color w:val="1A1A1A"/>
                <w:sz w:val="20"/>
                <w:szCs w:val="20"/>
              </w:rPr>
              <w:t>USD 1.800</w:t>
            </w:r>
          </w:p>
        </w:tc>
        <w:tc>
          <w:tcPr>
            <w:tcW w:w="0" w:type="auto"/>
            <w:tcBorders>
              <w:top w:val="single" w:sz="8" w:space="0" w:color="1F3864"/>
              <w:bottom w:val="single" w:sz="4" w:space="0" w:color="BFBFBF"/>
            </w:tcBorders>
            <w:shd w:val="clear" w:color="auto" w:fill="DEEAF6"/>
            <w:noWrap/>
            <w:tcMar>
              <w:top w:w="100" w:type="dxa"/>
              <w:left w:w="140" w:type="dxa"/>
              <w:bottom w:w="100" w:type="dxa"/>
              <w:right w:w="140" w:type="dxa"/>
            </w:tcMar>
            <w:hideMark/>
          </w:tcPr>
          <w:p w14:paraId="51571924" w14:textId="77777777" w:rsidR="005664FB" w:rsidRDefault="005664FB">
            <w:pPr>
              <w:spacing w:before="160" w:after="240"/>
              <w:jc w:val="right"/>
              <w:rPr>
                <w:rFonts w:ascii="Calibri" w:eastAsia="Times New Roman" w:hAnsi="Calibri" w:cs="Calibri"/>
                <w:b/>
                <w:bCs/>
                <w:color w:val="1A1A1A"/>
                <w:sz w:val="20"/>
                <w:szCs w:val="20"/>
              </w:rPr>
            </w:pPr>
            <w:r>
              <w:rPr>
                <w:rFonts w:ascii="Calibri" w:eastAsia="Times New Roman" w:hAnsi="Calibri" w:cs="Calibri"/>
                <w:b/>
                <w:bCs/>
                <w:color w:val="1A1A1A"/>
                <w:sz w:val="20"/>
                <w:szCs w:val="20"/>
              </w:rPr>
              <w:t>− 825</w:t>
            </w:r>
          </w:p>
        </w:tc>
      </w:tr>
    </w:tbl>
    <w:p w14:paraId="7818A454" w14:textId="6D179DE1" w:rsidR="005664FB" w:rsidRDefault="00D10A5C">
      <w:pPr>
        <w:pStyle w:val="small"/>
        <w:spacing w:after="100" w:afterAutospacing="1"/>
        <w:rPr>
          <w:rFonts w:ascii="Calibri" w:hAnsi="Calibri" w:cs="Calibri"/>
        </w:rPr>
      </w:pPr>
      <w:r>
        <w:rPr>
          <w:rFonts w:ascii="Calibri" w:hAnsi="Calibri" w:cs="Calibri"/>
        </w:rPr>
        <w:t>Abono</w:t>
      </w:r>
      <w:r w:rsidR="005664FB">
        <w:rPr>
          <w:rFonts w:ascii="Calibri" w:hAnsi="Calibri" w:cs="Calibri"/>
        </w:rPr>
        <w:t xml:space="preserve"> </w:t>
      </w:r>
      <w:proofErr w:type="spellStart"/>
      <w:r w:rsidR="005664FB">
        <w:rPr>
          <w:rFonts w:ascii="Calibri" w:hAnsi="Calibri" w:cs="Calibri"/>
        </w:rPr>
        <w:t>cloud</w:t>
      </w:r>
      <w:proofErr w:type="spellEnd"/>
      <w:r w:rsidR="005664FB">
        <w:rPr>
          <w:rFonts w:ascii="Calibri" w:hAnsi="Calibri" w:cs="Calibri"/>
        </w:rPr>
        <w:t xml:space="preserve"> según el escalonado de la propuesta: USD 4,00 por empleado hasta 500, USD 3,50 entre 500 y 750. El abono del módulo incluye además las 10 horas mensuales, que en el esquema </w:t>
      </w:r>
      <w:proofErr w:type="spellStart"/>
      <w:r w:rsidR="005664FB">
        <w:rPr>
          <w:rFonts w:ascii="Calibri" w:hAnsi="Calibri" w:cs="Calibri"/>
        </w:rPr>
        <w:t>cloud</w:t>
      </w:r>
      <w:proofErr w:type="spellEnd"/>
      <w:r w:rsidR="005664FB">
        <w:rPr>
          <w:rFonts w:ascii="Calibri" w:hAnsi="Calibri" w:cs="Calibri"/>
        </w:rPr>
        <w:t xml:space="preserve"> se facturan aparte en todos los tramos.</w:t>
      </w:r>
    </w:p>
    <w:p w14:paraId="64651762" w14:textId="58BBF6B3" w:rsidR="005664FB" w:rsidRDefault="005664FB">
      <w:pPr>
        <w:pStyle w:val="NormalWeb"/>
        <w:rPr>
          <w:rFonts w:ascii="Calibri" w:hAnsi="Calibri" w:cs="Calibri"/>
          <w:color w:val="1A1A1A"/>
          <w:sz w:val="22"/>
          <w:szCs w:val="22"/>
        </w:rPr>
      </w:pPr>
      <w:r>
        <w:rPr>
          <w:rFonts w:ascii="Calibri" w:hAnsi="Calibri" w:cs="Calibri"/>
          <w:b/>
          <w:bCs/>
          <w:color w:val="1A1A1A"/>
          <w:sz w:val="22"/>
          <w:szCs w:val="22"/>
        </w:rPr>
        <w:t xml:space="preserve">A partir de aproximadamente 450 empleados activos, </w:t>
      </w:r>
      <w:r w:rsidR="00D10A5C">
        <w:rPr>
          <w:rFonts w:ascii="Calibri" w:hAnsi="Calibri" w:cs="Calibri"/>
          <w:b/>
          <w:bCs/>
          <w:color w:val="1A1A1A"/>
          <w:sz w:val="22"/>
          <w:szCs w:val="22"/>
        </w:rPr>
        <w:t xml:space="preserve">el abono </w:t>
      </w:r>
      <w:proofErr w:type="spellStart"/>
      <w:r>
        <w:rPr>
          <w:rFonts w:ascii="Calibri" w:hAnsi="Calibri" w:cs="Calibri"/>
          <w:b/>
          <w:bCs/>
          <w:color w:val="1A1A1A"/>
          <w:sz w:val="22"/>
          <w:szCs w:val="22"/>
        </w:rPr>
        <w:t>cloud</w:t>
      </w:r>
      <w:proofErr w:type="spellEnd"/>
      <w:r>
        <w:rPr>
          <w:rFonts w:ascii="Calibri" w:hAnsi="Calibri" w:cs="Calibri"/>
          <w:b/>
          <w:bCs/>
          <w:color w:val="1A1A1A"/>
          <w:sz w:val="22"/>
          <w:szCs w:val="22"/>
        </w:rPr>
        <w:t xml:space="preserve"> por sí sol</w:t>
      </w:r>
      <w:r w:rsidR="00D10A5C">
        <w:rPr>
          <w:rFonts w:ascii="Calibri" w:hAnsi="Calibri" w:cs="Calibri"/>
          <w:b/>
          <w:bCs/>
          <w:color w:val="1A1A1A"/>
          <w:sz w:val="22"/>
          <w:szCs w:val="22"/>
        </w:rPr>
        <w:t>o</w:t>
      </w:r>
      <w:r>
        <w:rPr>
          <w:rFonts w:ascii="Calibri" w:hAnsi="Calibri" w:cs="Calibri"/>
          <w:b/>
          <w:bCs/>
          <w:color w:val="1A1A1A"/>
          <w:sz w:val="22"/>
          <w:szCs w:val="22"/>
        </w:rPr>
        <w:t xml:space="preserve"> iguala al abono integral</w:t>
      </w:r>
      <w:r>
        <w:rPr>
          <w:rFonts w:ascii="Calibri" w:hAnsi="Calibri" w:cs="Calibri"/>
          <w:color w:val="1A1A1A"/>
          <w:sz w:val="22"/>
          <w:szCs w:val="22"/>
        </w:rPr>
        <w:t xml:space="preserve"> — sin contar todavía las horas de adaptación. Toda incorporación de personal por encima de ese punto amplía la diferencia.</w:t>
      </w:r>
    </w:p>
    <w:p w14:paraId="153F07F6" w14:textId="77777777" w:rsidR="005664FB" w:rsidRDefault="005664FB">
      <w:pPr>
        <w:pStyle w:val="small"/>
        <w:spacing w:after="100" w:afterAutospacing="1"/>
        <w:rPr>
          <w:rFonts w:ascii="Calibri" w:hAnsi="Calibri" w:cs="Calibri"/>
        </w:rPr>
      </w:pPr>
      <w:r>
        <w:rPr>
          <w:rFonts w:ascii="Calibri" w:hAnsi="Calibri" w:cs="Calibri"/>
        </w:rPr>
        <w:t xml:space="preserve">Escenarios de horas calculados a USD 60/h según la propuesta </w:t>
      </w:r>
      <w:proofErr w:type="spellStart"/>
      <w:r>
        <w:rPr>
          <w:rFonts w:ascii="Calibri" w:hAnsi="Calibri" w:cs="Calibri"/>
        </w:rPr>
        <w:t>cloud</w:t>
      </w:r>
      <w:proofErr w:type="spellEnd"/>
      <w:r>
        <w:rPr>
          <w:rFonts w:ascii="Calibri" w:hAnsi="Calibri" w:cs="Calibri"/>
        </w:rPr>
        <w:t>, descontando las 100 horas incluidas en el primer año. El módulo incluye su bolsa dentro del abono, por lo que su costo no varía entre escenarios hasta agotarla.</w:t>
      </w:r>
    </w:p>
    <w:p w14:paraId="2E21176C" w14:textId="52B041CC" w:rsidR="005664FB" w:rsidRDefault="005664FB">
      <w:pPr>
        <w:shd w:val="clear" w:color="auto" w:fill="F2F5FA"/>
        <w:spacing w:before="200" w:after="200"/>
        <w:divId w:val="1554001271"/>
        <w:rPr>
          <w:rFonts w:ascii="Calibri" w:eastAsia="Times New Roman" w:hAnsi="Calibri" w:cs="Calibri"/>
          <w:color w:val="1A1A1A"/>
          <w:sz w:val="22"/>
          <w:szCs w:val="22"/>
        </w:rPr>
      </w:pPr>
      <w:r>
        <w:rPr>
          <w:rFonts w:ascii="Calibri" w:eastAsia="Times New Roman" w:hAnsi="Calibri" w:cs="Calibri"/>
          <w:b/>
          <w:bCs/>
          <w:color w:val="1A1A1A"/>
          <w:sz w:val="22"/>
          <w:szCs w:val="22"/>
        </w:rPr>
        <w:t>Cuatro factores que no figuran en el precio de lista.</w:t>
      </w:r>
      <w:r>
        <w:rPr>
          <w:rFonts w:ascii="Calibri" w:eastAsia="Times New Roman" w:hAnsi="Calibri" w:cs="Calibri"/>
          <w:color w:val="1A1A1A"/>
          <w:sz w:val="22"/>
          <w:szCs w:val="22"/>
        </w:rPr>
        <w:br/>
        <w:t xml:space="preserve">• </w:t>
      </w:r>
      <w:r>
        <w:rPr>
          <w:rFonts w:ascii="Calibri" w:eastAsia="Times New Roman" w:hAnsi="Calibri" w:cs="Calibri"/>
          <w:b/>
          <w:bCs/>
          <w:color w:val="1A1A1A"/>
          <w:sz w:val="22"/>
          <w:szCs w:val="22"/>
        </w:rPr>
        <w:t>Las 100 horas incluidas rigen solo el primer año.</w:t>
      </w:r>
      <w:r>
        <w:rPr>
          <w:rFonts w:ascii="Calibri" w:eastAsia="Times New Roman" w:hAnsi="Calibri" w:cs="Calibri"/>
          <w:color w:val="1A1A1A"/>
          <w:sz w:val="22"/>
          <w:szCs w:val="22"/>
        </w:rPr>
        <w:t xml:space="preserve"> A partir del segundo, toda adaptación se factura a USD 60/h sin bolsa incluida.</w:t>
      </w:r>
      <w:r w:rsidR="00E60B3B">
        <w:rPr>
          <w:rFonts w:ascii="Calibri" w:eastAsia="Times New Roman" w:hAnsi="Calibri" w:cs="Calibri"/>
          <w:color w:val="1A1A1A"/>
          <w:sz w:val="22"/>
          <w:szCs w:val="22"/>
        </w:rPr>
        <w:t xml:space="preserve"> Hay necesidades a cubrir durante el período de implementación que no están cubiertas, así que durante la implementación se empiezan a consumir las 100 horas.</w:t>
      </w:r>
      <w:r>
        <w:rPr>
          <w:rFonts w:ascii="Calibri" w:eastAsia="Times New Roman" w:hAnsi="Calibri" w:cs="Calibri"/>
          <w:color w:val="1A1A1A"/>
          <w:sz w:val="22"/>
          <w:szCs w:val="22"/>
        </w:rPr>
        <w:br/>
        <w:t xml:space="preserve">• </w:t>
      </w:r>
      <w:r w:rsidR="00D10A5C">
        <w:rPr>
          <w:rFonts w:ascii="Calibri" w:eastAsia="Times New Roman" w:hAnsi="Calibri" w:cs="Calibri"/>
          <w:color w:val="1A1A1A"/>
          <w:sz w:val="22"/>
          <w:szCs w:val="22"/>
        </w:rPr>
        <w:t xml:space="preserve">El abono </w:t>
      </w:r>
      <w:proofErr w:type="spellStart"/>
      <w:r>
        <w:rPr>
          <w:rFonts w:ascii="Calibri" w:eastAsia="Times New Roman" w:hAnsi="Calibri" w:cs="Calibri"/>
          <w:color w:val="1A1A1A"/>
          <w:sz w:val="22"/>
          <w:szCs w:val="22"/>
        </w:rPr>
        <w:t>cloud</w:t>
      </w:r>
      <w:proofErr w:type="spellEnd"/>
      <w:r>
        <w:rPr>
          <w:rFonts w:ascii="Calibri" w:eastAsia="Times New Roman" w:hAnsi="Calibri" w:cs="Calibri"/>
          <w:color w:val="1A1A1A"/>
          <w:sz w:val="22"/>
          <w:szCs w:val="22"/>
        </w:rPr>
        <w:t xml:space="preserve"> es </w:t>
      </w:r>
      <w:r>
        <w:rPr>
          <w:rFonts w:ascii="Calibri" w:eastAsia="Times New Roman" w:hAnsi="Calibri" w:cs="Calibri"/>
          <w:b/>
          <w:bCs/>
          <w:color w:val="1A1A1A"/>
          <w:sz w:val="22"/>
          <w:szCs w:val="22"/>
        </w:rPr>
        <w:t>por empleado activo</w:t>
      </w:r>
      <w:r>
        <w:rPr>
          <w:rFonts w:ascii="Calibri" w:eastAsia="Times New Roman" w:hAnsi="Calibri" w:cs="Calibri"/>
          <w:color w:val="1A1A1A"/>
          <w:sz w:val="22"/>
          <w:szCs w:val="22"/>
        </w:rPr>
        <w:t>: incorporar dotación aumenta el costo de forma permanente. El abono del módulo es fijo (ver 7.4).</w:t>
      </w:r>
      <w:r>
        <w:rPr>
          <w:rFonts w:ascii="Calibri" w:eastAsia="Times New Roman" w:hAnsi="Calibri" w:cs="Calibri"/>
          <w:color w:val="1A1A1A"/>
          <w:sz w:val="22"/>
          <w:szCs w:val="22"/>
        </w:rPr>
        <w:br/>
        <w:t xml:space="preserve">• La implementación </w:t>
      </w:r>
      <w:proofErr w:type="spellStart"/>
      <w:r>
        <w:rPr>
          <w:rFonts w:ascii="Calibri" w:eastAsia="Times New Roman" w:hAnsi="Calibri" w:cs="Calibri"/>
          <w:color w:val="1A1A1A"/>
          <w:sz w:val="22"/>
          <w:szCs w:val="22"/>
        </w:rPr>
        <w:t>cloud</w:t>
      </w:r>
      <w:proofErr w:type="spellEnd"/>
      <w:r>
        <w:rPr>
          <w:rFonts w:ascii="Calibri" w:eastAsia="Times New Roman" w:hAnsi="Calibri" w:cs="Calibri"/>
          <w:color w:val="1A1A1A"/>
          <w:sz w:val="22"/>
          <w:szCs w:val="22"/>
        </w:rPr>
        <w:t xml:space="preserve"> demanda un mínimo de seis meses, durante los cuales se abonan USD 5.200 mensuales mientras se sostiene el circuito actual en paralelo.</w:t>
      </w:r>
      <w:r>
        <w:rPr>
          <w:rFonts w:ascii="Calibri" w:eastAsia="Times New Roman" w:hAnsi="Calibri" w:cs="Calibri"/>
          <w:color w:val="1A1A1A"/>
          <w:sz w:val="22"/>
          <w:szCs w:val="22"/>
        </w:rPr>
        <w:br/>
        <w:t xml:space="preserve">• No se requiere licencia de plataforma adicional: el módulo corre sobre el Business Central ya adquirido. </w:t>
      </w:r>
    </w:p>
    <w:p w14:paraId="468C66C5" w14:textId="77777777" w:rsidR="005664FB" w:rsidRDefault="005664FB">
      <w:pPr>
        <w:pStyle w:val="Ttulo2"/>
        <w:rPr>
          <w:rFonts w:ascii="Calibri" w:eastAsia="Times New Roman" w:hAnsi="Calibri" w:cs="Calibri"/>
        </w:rPr>
      </w:pPr>
      <w:r>
        <w:rPr>
          <w:rFonts w:ascii="Calibri" w:eastAsia="Times New Roman" w:hAnsi="Calibri" w:cs="Calibri"/>
        </w:rPr>
        <w:t>8. Continuidad y respaldo</w:t>
      </w:r>
    </w:p>
    <w:tbl>
      <w:tblPr>
        <w:tblW w:w="5000" w:type="pct"/>
        <w:tblCellMar>
          <w:top w:w="15" w:type="dxa"/>
          <w:left w:w="15" w:type="dxa"/>
          <w:bottom w:w="15" w:type="dxa"/>
          <w:right w:w="15" w:type="dxa"/>
        </w:tblCellMar>
        <w:tblLook w:val="04A0" w:firstRow="1" w:lastRow="0" w:firstColumn="1" w:lastColumn="0" w:noHBand="0" w:noVBand="1"/>
      </w:tblPr>
      <w:tblGrid>
        <w:gridCol w:w="2891"/>
        <w:gridCol w:w="5613"/>
      </w:tblGrid>
      <w:tr w:rsidR="005D680B" w14:paraId="3B7E4F45" w14:textId="77777777">
        <w:tc>
          <w:tcPr>
            <w:tcW w:w="1700" w:type="pct"/>
            <w:shd w:val="clear" w:color="auto" w:fill="1F3864"/>
            <w:tcMar>
              <w:top w:w="100" w:type="dxa"/>
              <w:left w:w="140" w:type="dxa"/>
              <w:bottom w:w="100" w:type="dxa"/>
              <w:right w:w="140" w:type="dxa"/>
            </w:tcMar>
            <w:vAlign w:val="center"/>
            <w:hideMark/>
          </w:tcPr>
          <w:p w14:paraId="134F79EC"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 </w:t>
            </w:r>
          </w:p>
        </w:tc>
        <w:tc>
          <w:tcPr>
            <w:tcW w:w="3300" w:type="pct"/>
            <w:shd w:val="clear" w:color="auto" w:fill="1F3864"/>
            <w:tcMar>
              <w:top w:w="100" w:type="dxa"/>
              <w:left w:w="140" w:type="dxa"/>
              <w:bottom w:w="100" w:type="dxa"/>
              <w:right w:w="140" w:type="dxa"/>
            </w:tcMar>
            <w:vAlign w:val="center"/>
            <w:hideMark/>
          </w:tcPr>
          <w:p w14:paraId="6B050ADA" w14:textId="77777777" w:rsidR="005664FB" w:rsidRDefault="005664F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 </w:t>
            </w:r>
          </w:p>
        </w:tc>
      </w:tr>
      <w:tr w:rsidR="005D680B" w14:paraId="11A243D1" w14:textId="77777777">
        <w:tc>
          <w:tcPr>
            <w:tcW w:w="0" w:type="auto"/>
            <w:tcBorders>
              <w:bottom w:val="single" w:sz="4" w:space="0" w:color="BFBFBF"/>
            </w:tcBorders>
            <w:tcMar>
              <w:top w:w="100" w:type="dxa"/>
              <w:left w:w="140" w:type="dxa"/>
              <w:bottom w:w="100" w:type="dxa"/>
              <w:right w:w="140" w:type="dxa"/>
            </w:tcMar>
            <w:hideMark/>
          </w:tcPr>
          <w:p w14:paraId="77B3F07E"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Producto versionado</w:t>
            </w:r>
          </w:p>
        </w:tc>
        <w:tc>
          <w:tcPr>
            <w:tcW w:w="0" w:type="auto"/>
            <w:tcBorders>
              <w:bottom w:val="single" w:sz="4" w:space="0" w:color="BFBFBF"/>
            </w:tcBorders>
            <w:tcMar>
              <w:top w:w="100" w:type="dxa"/>
              <w:left w:w="140" w:type="dxa"/>
              <w:bottom w:w="100" w:type="dxa"/>
              <w:right w:w="140" w:type="dxa"/>
            </w:tcMar>
            <w:hideMark/>
          </w:tcPr>
          <w:p w14:paraId="4D1DF73A"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El módulo se entrega con número de versión y notas de cada actualización. No es un desarrollo puntual: evoluciona como producto.</w:t>
            </w:r>
          </w:p>
        </w:tc>
      </w:tr>
      <w:tr w:rsidR="005D680B" w14:paraId="23A8DB7A" w14:textId="77777777">
        <w:tc>
          <w:tcPr>
            <w:tcW w:w="0" w:type="auto"/>
            <w:tcBorders>
              <w:bottom w:val="single" w:sz="4" w:space="0" w:color="BFBFBF"/>
            </w:tcBorders>
            <w:tcMar>
              <w:top w:w="100" w:type="dxa"/>
              <w:left w:w="140" w:type="dxa"/>
              <w:bottom w:w="100" w:type="dxa"/>
              <w:right w:w="140" w:type="dxa"/>
            </w:tcMar>
            <w:hideMark/>
          </w:tcPr>
          <w:p w14:paraId="191050F1"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Actualizaciones normativas</w:t>
            </w:r>
          </w:p>
        </w:tc>
        <w:tc>
          <w:tcPr>
            <w:tcW w:w="0" w:type="auto"/>
            <w:tcBorders>
              <w:bottom w:val="single" w:sz="4" w:space="0" w:color="BFBFBF"/>
            </w:tcBorders>
            <w:tcMar>
              <w:top w:w="100" w:type="dxa"/>
              <w:left w:w="140" w:type="dxa"/>
              <w:bottom w:w="100" w:type="dxa"/>
              <w:right w:w="140" w:type="dxa"/>
            </w:tcMar>
            <w:hideMark/>
          </w:tcPr>
          <w:p w14:paraId="21FDE0E1"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Comprometidas con el soporte, con plazo de aplicación acordado.</w:t>
            </w:r>
          </w:p>
        </w:tc>
      </w:tr>
      <w:tr w:rsidR="005D680B" w14:paraId="454127AD" w14:textId="77777777">
        <w:tc>
          <w:tcPr>
            <w:tcW w:w="0" w:type="auto"/>
            <w:tcBorders>
              <w:bottom w:val="single" w:sz="4" w:space="0" w:color="BFBFBF"/>
            </w:tcBorders>
            <w:tcMar>
              <w:top w:w="100" w:type="dxa"/>
              <w:left w:w="140" w:type="dxa"/>
              <w:bottom w:w="100" w:type="dxa"/>
              <w:right w:w="140" w:type="dxa"/>
            </w:tcMar>
            <w:hideMark/>
          </w:tcPr>
          <w:p w14:paraId="1FF89297"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Compatibilidad con BC</w:t>
            </w:r>
          </w:p>
        </w:tc>
        <w:tc>
          <w:tcPr>
            <w:tcW w:w="0" w:type="auto"/>
            <w:tcBorders>
              <w:bottom w:val="single" w:sz="4" w:space="0" w:color="BFBFBF"/>
            </w:tcBorders>
            <w:tcMar>
              <w:top w:w="100" w:type="dxa"/>
              <w:left w:w="140" w:type="dxa"/>
              <w:bottom w:w="100" w:type="dxa"/>
              <w:right w:w="140" w:type="dxa"/>
            </w:tcMar>
            <w:hideMark/>
          </w:tcPr>
          <w:p w14:paraId="1E1C7855"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El módulo se valida contra cada actualización de Business Central implementada por el cliente, dentro del soporte.</w:t>
            </w:r>
          </w:p>
        </w:tc>
      </w:tr>
      <w:tr w:rsidR="005D680B" w14:paraId="1C6BD9E7" w14:textId="77777777">
        <w:tc>
          <w:tcPr>
            <w:tcW w:w="0" w:type="auto"/>
            <w:tcBorders>
              <w:bottom w:val="single" w:sz="4" w:space="0" w:color="BFBFBF"/>
            </w:tcBorders>
            <w:tcMar>
              <w:top w:w="100" w:type="dxa"/>
              <w:left w:w="140" w:type="dxa"/>
              <w:bottom w:w="100" w:type="dxa"/>
              <w:right w:w="140" w:type="dxa"/>
            </w:tcMar>
            <w:hideMark/>
          </w:tcPr>
          <w:p w14:paraId="684B4619"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Infraestructura y resguardo</w:t>
            </w:r>
          </w:p>
        </w:tc>
        <w:tc>
          <w:tcPr>
            <w:tcW w:w="0" w:type="auto"/>
            <w:tcBorders>
              <w:bottom w:val="single" w:sz="4" w:space="0" w:color="BFBFBF"/>
            </w:tcBorders>
            <w:tcMar>
              <w:top w:w="100" w:type="dxa"/>
              <w:left w:w="140" w:type="dxa"/>
              <w:bottom w:w="100" w:type="dxa"/>
              <w:right w:w="140" w:type="dxa"/>
            </w:tcMar>
            <w:hideMark/>
          </w:tcPr>
          <w:p w14:paraId="2ACD2E09" w14:textId="77777777" w:rsidR="005664FB" w:rsidRDefault="005664F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Los del Business Central del cliente, sin componentes adicionales que administrar.</w:t>
            </w:r>
          </w:p>
        </w:tc>
      </w:tr>
    </w:tbl>
    <w:p w14:paraId="70932318" w14:textId="77777777" w:rsidR="005664FB" w:rsidRDefault="005664FB">
      <w:pPr>
        <w:pStyle w:val="Ttulo2"/>
        <w:rPr>
          <w:rFonts w:ascii="Calibri" w:eastAsia="Times New Roman" w:hAnsi="Calibri" w:cs="Calibri"/>
        </w:rPr>
      </w:pPr>
      <w:r>
        <w:rPr>
          <w:rFonts w:ascii="Calibri" w:eastAsia="Times New Roman" w:hAnsi="Calibri" w:cs="Calibri"/>
        </w:rPr>
        <w:t>9. Próximos pasos</w:t>
      </w:r>
    </w:p>
    <w:p w14:paraId="6D8250B5" w14:textId="5D8B331E" w:rsidR="00E60B3B" w:rsidRPr="00E60B3B" w:rsidRDefault="005664FB" w:rsidP="00E60B3B">
      <w:pPr>
        <w:numPr>
          <w:ilvl w:val="0"/>
          <w:numId w:val="7"/>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Validación del alcance funcional del punto 2 con el área de Recursos Humanos</w:t>
      </w:r>
      <w:r w:rsidR="00E60B3B">
        <w:rPr>
          <w:rFonts w:ascii="Calibri" w:eastAsia="Times New Roman" w:hAnsi="Calibri" w:cs="Calibri"/>
          <w:color w:val="1A1A1A"/>
          <w:sz w:val="22"/>
          <w:szCs w:val="22"/>
        </w:rPr>
        <w:t xml:space="preserve"> (ya validad</w:t>
      </w:r>
      <w:r w:rsidR="00F7491A">
        <w:rPr>
          <w:rFonts w:ascii="Calibri" w:eastAsia="Times New Roman" w:hAnsi="Calibri" w:cs="Calibri"/>
          <w:color w:val="1A1A1A"/>
          <w:sz w:val="22"/>
          <w:szCs w:val="22"/>
        </w:rPr>
        <w:t>o).</w:t>
      </w:r>
    </w:p>
    <w:p w14:paraId="6CF119B3" w14:textId="77777777" w:rsidR="005664FB" w:rsidRDefault="005664FB">
      <w:pPr>
        <w:numPr>
          <w:ilvl w:val="0"/>
          <w:numId w:val="7"/>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Firma y cronograma de puesta en producción.</w:t>
      </w:r>
    </w:p>
    <w:p w14:paraId="2A1874CC" w14:textId="77777777" w:rsidR="005664FB" w:rsidRDefault="005664FB">
      <w:pPr>
        <w:numPr>
          <w:ilvl w:val="0"/>
          <w:numId w:val="7"/>
        </w:numPr>
        <w:spacing w:before="100" w:beforeAutospacing="1" w:after="60"/>
        <w:rPr>
          <w:rFonts w:ascii="Calibri" w:eastAsia="Times New Roman" w:hAnsi="Calibri" w:cs="Calibri"/>
          <w:color w:val="1A1A1A"/>
          <w:sz w:val="22"/>
          <w:szCs w:val="22"/>
        </w:rPr>
      </w:pPr>
      <w:proofErr w:type="spellStart"/>
      <w:r>
        <w:rPr>
          <w:rFonts w:ascii="Calibri" w:eastAsia="Times New Roman" w:hAnsi="Calibri" w:cs="Calibri"/>
          <w:color w:val="1A1A1A"/>
          <w:sz w:val="22"/>
          <w:szCs w:val="22"/>
        </w:rPr>
        <w:t>Co-parametrización</w:t>
      </w:r>
      <w:proofErr w:type="spellEnd"/>
      <w:r>
        <w:rPr>
          <w:rFonts w:ascii="Calibri" w:eastAsia="Times New Roman" w:hAnsi="Calibri" w:cs="Calibri"/>
          <w:color w:val="1A1A1A"/>
          <w:sz w:val="22"/>
          <w:szCs w:val="22"/>
        </w:rPr>
        <w:t xml:space="preserve"> de convenios, categorías y conceptos junto al equipo de Recursos Humanos.</w:t>
      </w:r>
    </w:p>
    <w:p w14:paraId="074587B6" w14:textId="0484D937" w:rsidR="005664FB" w:rsidRDefault="005664FB">
      <w:pPr>
        <w:numPr>
          <w:ilvl w:val="0"/>
          <w:numId w:val="7"/>
        </w:numPr>
        <w:spacing w:before="100" w:beforeAutospacing="1" w:after="60"/>
        <w:rPr>
          <w:rFonts w:ascii="Calibri" w:eastAsia="Times New Roman" w:hAnsi="Calibri" w:cs="Calibri"/>
          <w:color w:val="1A1A1A"/>
          <w:sz w:val="22"/>
          <w:szCs w:val="22"/>
        </w:rPr>
      </w:pPr>
      <w:r>
        <w:rPr>
          <w:rFonts w:ascii="Calibri" w:eastAsia="Times New Roman" w:hAnsi="Calibri" w:cs="Calibri"/>
          <w:color w:val="1A1A1A"/>
          <w:sz w:val="22"/>
          <w:szCs w:val="22"/>
        </w:rPr>
        <w:t>Liquidación en paralelo de un</w:t>
      </w:r>
      <w:r w:rsidR="00625FF8">
        <w:rPr>
          <w:rFonts w:ascii="Calibri" w:eastAsia="Times New Roman" w:hAnsi="Calibri" w:cs="Calibri"/>
          <w:color w:val="1A1A1A"/>
          <w:sz w:val="22"/>
          <w:szCs w:val="22"/>
        </w:rPr>
        <w:t>o o más</w:t>
      </w:r>
      <w:r>
        <w:rPr>
          <w:rFonts w:ascii="Calibri" w:eastAsia="Times New Roman" w:hAnsi="Calibri" w:cs="Calibri"/>
          <w:color w:val="1A1A1A"/>
          <w:sz w:val="22"/>
          <w:szCs w:val="22"/>
        </w:rPr>
        <w:t xml:space="preserve"> período</w:t>
      </w:r>
      <w:r w:rsidR="00625FF8">
        <w:rPr>
          <w:rFonts w:ascii="Calibri" w:eastAsia="Times New Roman" w:hAnsi="Calibri" w:cs="Calibri"/>
          <w:color w:val="1A1A1A"/>
          <w:sz w:val="22"/>
          <w:szCs w:val="22"/>
        </w:rPr>
        <w:t>s</w:t>
      </w:r>
      <w:r>
        <w:rPr>
          <w:rFonts w:ascii="Calibri" w:eastAsia="Times New Roman" w:hAnsi="Calibri" w:cs="Calibri"/>
          <w:color w:val="1A1A1A"/>
          <w:sz w:val="22"/>
          <w:szCs w:val="22"/>
        </w:rPr>
        <w:t xml:space="preserve"> completo</w:t>
      </w:r>
      <w:r w:rsidR="00625FF8">
        <w:rPr>
          <w:rFonts w:ascii="Calibri" w:eastAsia="Times New Roman" w:hAnsi="Calibri" w:cs="Calibri"/>
          <w:color w:val="1A1A1A"/>
          <w:sz w:val="22"/>
          <w:szCs w:val="22"/>
        </w:rPr>
        <w:t>s</w:t>
      </w:r>
      <w:r>
        <w:rPr>
          <w:rFonts w:ascii="Calibri" w:eastAsia="Times New Roman" w:hAnsi="Calibri" w:cs="Calibri"/>
          <w:color w:val="1A1A1A"/>
          <w:sz w:val="22"/>
          <w:szCs w:val="22"/>
        </w:rPr>
        <w:t>, previa a la puesta en producción.</w:t>
      </w:r>
    </w:p>
    <w:p w14:paraId="0D8D800E" w14:textId="778DC508" w:rsidR="005664FB" w:rsidRDefault="005664FB">
      <w:pPr>
        <w:pStyle w:val="small"/>
        <w:pBdr>
          <w:top w:val="single" w:sz="4" w:space="6" w:color="BFBFBF"/>
        </w:pBdr>
        <w:spacing w:before="480" w:beforeAutospacing="0" w:after="100" w:afterAutospacing="1"/>
        <w:rPr>
          <w:rFonts w:ascii="Calibri" w:hAnsi="Calibri" w:cs="Calibri"/>
        </w:rPr>
      </w:pPr>
    </w:p>
    <w:sectPr w:rsidR="005664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56E7"/>
    <w:multiLevelType w:val="multilevel"/>
    <w:tmpl w:val="5CB4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C7CFF"/>
    <w:multiLevelType w:val="multilevel"/>
    <w:tmpl w:val="30B6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60F86"/>
    <w:multiLevelType w:val="multilevel"/>
    <w:tmpl w:val="6090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C5AA2"/>
    <w:multiLevelType w:val="multilevel"/>
    <w:tmpl w:val="9148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F1B95"/>
    <w:multiLevelType w:val="multilevel"/>
    <w:tmpl w:val="A0D2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3E62B5"/>
    <w:multiLevelType w:val="multilevel"/>
    <w:tmpl w:val="F58E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7B2FD8"/>
    <w:multiLevelType w:val="multilevel"/>
    <w:tmpl w:val="2DBC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009501">
    <w:abstractNumId w:val="6"/>
  </w:num>
  <w:num w:numId="2" w16cid:durableId="44263451">
    <w:abstractNumId w:val="0"/>
  </w:num>
  <w:num w:numId="3" w16cid:durableId="1907013">
    <w:abstractNumId w:val="2"/>
  </w:num>
  <w:num w:numId="4" w16cid:durableId="6250874">
    <w:abstractNumId w:val="3"/>
  </w:num>
  <w:num w:numId="5" w16cid:durableId="215774962">
    <w:abstractNumId w:val="4"/>
  </w:num>
  <w:num w:numId="6" w16cid:durableId="2145735491">
    <w:abstractNumId w:val="1"/>
  </w:num>
  <w:num w:numId="7" w16cid:durableId="2544857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F52"/>
    <w:rsid w:val="000F2F52"/>
    <w:rsid w:val="001E3A22"/>
    <w:rsid w:val="00373B12"/>
    <w:rsid w:val="005269A3"/>
    <w:rsid w:val="005664FB"/>
    <w:rsid w:val="005D680B"/>
    <w:rsid w:val="00625FF8"/>
    <w:rsid w:val="007329C4"/>
    <w:rsid w:val="00A26EC7"/>
    <w:rsid w:val="00A46241"/>
    <w:rsid w:val="00AE7A5D"/>
    <w:rsid w:val="00AF490D"/>
    <w:rsid w:val="00B17F31"/>
    <w:rsid w:val="00D10A5C"/>
    <w:rsid w:val="00E60B3B"/>
    <w:rsid w:val="00F7491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9AB8CB"/>
  <w15:chartTrackingRefBased/>
  <w15:docId w15:val="{E8BF9054-D4E1-47ED-AF93-79D83259C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40"/>
      <w:outlineLvl w:val="0"/>
    </w:pPr>
    <w:rPr>
      <w:b/>
      <w:bCs/>
      <w:color w:val="1F3864"/>
      <w:kern w:val="36"/>
      <w:sz w:val="40"/>
      <w:szCs w:val="40"/>
    </w:rPr>
  </w:style>
  <w:style w:type="paragraph" w:styleId="Ttulo2">
    <w:name w:val="heading 2"/>
    <w:basedOn w:val="Normal"/>
    <w:link w:val="Ttulo2Car"/>
    <w:uiPriority w:val="9"/>
    <w:qFormat/>
    <w:pPr>
      <w:pBdr>
        <w:bottom w:val="single" w:sz="12" w:space="3" w:color="1F3864"/>
      </w:pBdr>
      <w:spacing w:before="440" w:after="100" w:afterAutospacing="1"/>
      <w:outlineLvl w:val="1"/>
    </w:pPr>
    <w:rPr>
      <w:b/>
      <w:bCs/>
      <w:color w:val="1F3864"/>
      <w:sz w:val="28"/>
      <w:szCs w:val="28"/>
    </w:rPr>
  </w:style>
  <w:style w:type="paragraph" w:styleId="Ttulo3">
    <w:name w:val="heading 3"/>
    <w:basedOn w:val="Normal"/>
    <w:link w:val="Ttulo3Car"/>
    <w:uiPriority w:val="9"/>
    <w:qFormat/>
    <w:pPr>
      <w:spacing w:before="280" w:after="80"/>
      <w:outlineLvl w:val="2"/>
    </w:pPr>
    <w:rPr>
      <w:b/>
      <w:bCs/>
      <w:color w:val="2E5496"/>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
    <w:name w:val="sub"/>
    <w:basedOn w:val="Normal"/>
    <w:pPr>
      <w:spacing w:after="60"/>
    </w:pPr>
    <w:rPr>
      <w:color w:val="595959"/>
      <w:sz w:val="21"/>
      <w:szCs w:val="21"/>
    </w:rPr>
  </w:style>
  <w:style w:type="paragraph" w:customStyle="1" w:styleId="box">
    <w:name w:val="box"/>
    <w:basedOn w:val="Normal"/>
    <w:pPr>
      <w:pBdr>
        <w:left w:val="single" w:sz="24" w:space="12" w:color="1F3864"/>
      </w:pBdr>
      <w:shd w:val="clear" w:color="auto" w:fill="F2F5FA"/>
      <w:spacing w:before="200" w:after="200"/>
    </w:pPr>
  </w:style>
  <w:style w:type="paragraph" w:customStyle="1" w:styleId="warn">
    <w:name w:val="warn"/>
    <w:basedOn w:val="Normal"/>
    <w:pPr>
      <w:pBdr>
        <w:left w:val="single" w:sz="24" w:space="12" w:color="C00000"/>
      </w:pBdr>
      <w:shd w:val="clear" w:color="auto" w:fill="FBF0F0"/>
      <w:spacing w:before="200" w:after="200"/>
    </w:pPr>
  </w:style>
  <w:style w:type="paragraph" w:customStyle="1" w:styleId="fill">
    <w:name w:val="fill"/>
    <w:basedOn w:val="Normal"/>
    <w:pPr>
      <w:spacing w:before="100" w:beforeAutospacing="1" w:after="60"/>
    </w:pPr>
    <w:rPr>
      <w:b/>
      <w:bCs/>
      <w:color w:val="C00000"/>
    </w:rPr>
  </w:style>
  <w:style w:type="paragraph" w:customStyle="1" w:styleId="small">
    <w:name w:val="small"/>
    <w:basedOn w:val="Normal"/>
    <w:pPr>
      <w:spacing w:before="100" w:beforeAutospacing="1" w:after="60"/>
    </w:pPr>
    <w:rPr>
      <w:color w:val="595959"/>
      <w:sz w:val="18"/>
      <w:szCs w:val="18"/>
    </w:rPr>
  </w:style>
  <w:style w:type="character" w:customStyle="1" w:styleId="fill1">
    <w:name w:val="fill1"/>
    <w:basedOn w:val="Fuentedeprrafopredeter"/>
    <w:rPr>
      <w:b/>
      <w:bCs/>
      <w:color w:val="C00000"/>
    </w:rPr>
  </w:style>
  <w:style w:type="paragraph" w:styleId="NormalWeb">
    <w:name w:val="Normal (Web)"/>
    <w:basedOn w:val="Normal"/>
    <w:uiPriority w:val="99"/>
    <w:semiHidden/>
    <w:unhideWhenUsed/>
    <w:pPr>
      <w:spacing w:before="100" w:beforeAutospacing="1" w:after="100" w:afterAutospacing="1"/>
    </w:pPr>
  </w:style>
  <w:style w:type="character" w:customStyle="1" w:styleId="small1">
    <w:name w:val="small1"/>
    <w:basedOn w:val="Fuentedeprrafopredeter"/>
    <w:rPr>
      <w:color w:val="595959"/>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71257">
      <w:marLeft w:val="0"/>
      <w:marRight w:val="0"/>
      <w:marTop w:val="200"/>
      <w:marBottom w:val="200"/>
      <w:divBdr>
        <w:top w:val="none" w:sz="0" w:space="0" w:color="auto"/>
        <w:left w:val="single" w:sz="24" w:space="12" w:color="C00000"/>
        <w:bottom w:val="none" w:sz="0" w:space="0" w:color="auto"/>
        <w:right w:val="none" w:sz="0" w:space="0" w:color="auto"/>
      </w:divBdr>
    </w:div>
    <w:div w:id="908420276">
      <w:marLeft w:val="0"/>
      <w:marRight w:val="0"/>
      <w:marTop w:val="200"/>
      <w:marBottom w:val="200"/>
      <w:divBdr>
        <w:top w:val="none" w:sz="0" w:space="0" w:color="auto"/>
        <w:left w:val="single" w:sz="24" w:space="12" w:color="C00000"/>
        <w:bottom w:val="none" w:sz="0" w:space="0" w:color="auto"/>
        <w:right w:val="none" w:sz="0" w:space="0" w:color="auto"/>
      </w:divBdr>
    </w:div>
    <w:div w:id="984940957">
      <w:marLeft w:val="0"/>
      <w:marRight w:val="0"/>
      <w:marTop w:val="200"/>
      <w:marBottom w:val="200"/>
      <w:divBdr>
        <w:top w:val="none" w:sz="0" w:space="0" w:color="auto"/>
        <w:left w:val="single" w:sz="24" w:space="12" w:color="1F3864"/>
        <w:bottom w:val="none" w:sz="0" w:space="0" w:color="auto"/>
        <w:right w:val="none" w:sz="0" w:space="0" w:color="auto"/>
      </w:divBdr>
    </w:div>
    <w:div w:id="1018507022">
      <w:marLeft w:val="0"/>
      <w:marRight w:val="0"/>
      <w:marTop w:val="200"/>
      <w:marBottom w:val="200"/>
      <w:divBdr>
        <w:top w:val="none" w:sz="0" w:space="0" w:color="auto"/>
        <w:left w:val="single" w:sz="24" w:space="12" w:color="C00000"/>
        <w:bottom w:val="none" w:sz="0" w:space="0" w:color="auto"/>
        <w:right w:val="none" w:sz="0" w:space="0" w:color="auto"/>
      </w:divBdr>
    </w:div>
    <w:div w:id="1554001271">
      <w:marLeft w:val="0"/>
      <w:marRight w:val="0"/>
      <w:marTop w:val="200"/>
      <w:marBottom w:val="200"/>
      <w:divBdr>
        <w:top w:val="none" w:sz="0" w:space="0" w:color="auto"/>
        <w:left w:val="single" w:sz="24" w:space="12" w:color="1F3864"/>
        <w:bottom w:val="none" w:sz="0" w:space="0" w:color="auto"/>
        <w:right w:val="none" w:sz="0" w:space="0" w:color="auto"/>
      </w:divBdr>
    </w:div>
    <w:div w:id="1692871885">
      <w:marLeft w:val="0"/>
      <w:marRight w:val="0"/>
      <w:marTop w:val="200"/>
      <w:marBottom w:val="200"/>
      <w:divBdr>
        <w:top w:val="none" w:sz="0" w:space="0" w:color="auto"/>
        <w:left w:val="single" w:sz="24" w:space="12" w:color="1F3864"/>
        <w:bottom w:val="none" w:sz="0" w:space="0" w:color="auto"/>
        <w:right w:val="none" w:sz="0" w:space="0" w:color="auto"/>
      </w:divBdr>
    </w:div>
    <w:div w:id="1756047537">
      <w:marLeft w:val="0"/>
      <w:marRight w:val="0"/>
      <w:marTop w:val="200"/>
      <w:marBottom w:val="200"/>
      <w:divBdr>
        <w:top w:val="none" w:sz="0" w:space="0" w:color="auto"/>
        <w:left w:val="single" w:sz="24" w:space="12" w:color="1F3864"/>
        <w:bottom w:val="none" w:sz="0" w:space="0" w:color="auto"/>
        <w:right w:val="none" w:sz="0" w:space="0" w:color="auto"/>
      </w:divBdr>
    </w:div>
    <w:div w:id="1981039110">
      <w:marLeft w:val="0"/>
      <w:marRight w:val="0"/>
      <w:marTop w:val="200"/>
      <w:marBottom w:val="200"/>
      <w:divBdr>
        <w:top w:val="none" w:sz="0" w:space="0" w:color="auto"/>
        <w:left w:val="single" w:sz="24" w:space="12" w:color="1F3864"/>
        <w:bottom w:val="none" w:sz="0" w:space="0" w:color="auto"/>
        <w:right w:val="none" w:sz="0" w:space="0" w:color="auto"/>
      </w:divBdr>
    </w:div>
    <w:div w:id="2127311012">
      <w:marLeft w:val="0"/>
      <w:marRight w:val="0"/>
      <w:marTop w:val="200"/>
      <w:marBottom w:val="200"/>
      <w:divBdr>
        <w:top w:val="none" w:sz="0" w:space="0" w:color="auto"/>
        <w:left w:val="single" w:sz="24" w:space="12" w:color="1F3864"/>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2785</Words>
  <Characters>15322</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Modulo de Liquidacion de Haberes para Business Central</vt:lpstr>
    </vt:vector>
  </TitlesOfParts>
  <Company/>
  <LinksUpToDate>false</LinksUpToDate>
  <CharactersWithSpaces>18071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Modulo de Liquidacion de Haberes para Business Central</dc:title>
  <dc:subject/>
  <dc:creator>Ulises Sasovsky</dc:creator>
  <cp:keywords/>
  <dc:description/>
  <cp:lastModifiedBy>Ulises Sasovsky</cp:lastModifiedBy>
  <cp:revision>18</cp:revision>
  <dcterms:created xsi:type="dcterms:W3CDTF">2026-08-13T23:39:00Z</dcterms:created>
  <dcterms:modified xsi:type="dcterms:W3CDTF">2026-08-18T23:11:00Z</dcterms:modified>
</cp:coreProperties>
</file>