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768"/>
            <w:shd w:fill="691C32"/>
          </w:tcPr>
          <w:p>
            <w:pPr>
              <w:spacing w:before="40" w:after="4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2880"/>
            <w:shd w:fill="C2BA98"/>
          </w:tcPr>
          <w:p>
            <w:pPr>
              <w:spacing w:before="40" w:after="40"/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Arial" w:hAnsi="Arial"/>
          <w:b/>
          <w:color w:val="00A887"/>
          <w:sz w:val="32"/>
        </w:rPr>
        <w:t>UNIVERSIDAD TECNOLÓGICA DE HUEJOTZINGO</w:t>
        <w:br/>
      </w:r>
      <w:r>
        <w:rPr>
          <w:rFonts w:ascii="Arial" w:hAnsi="Arial"/>
          <w:b/>
          <w:color w:val="691C32"/>
          <w:sz w:val="22"/>
        </w:rPr>
        <w:t>Bolsa de Trabajo Institucional (exuth.uth.edu.mx)</w:t>
        <w:br/>
      </w:r>
      <w:r>
        <w:rPr>
          <w:rFonts w:ascii="Arial" w:hAnsi="Arial"/>
          <w:b/>
          <w:color w:val="2D2926"/>
          <w:sz w:val="26"/>
        </w:rPr>
        <w:t>INFORME DE ESTADO Y AVANCE: DESARROLLO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none"/>
          <w:right w:val="none"/>
          <w:insideH w:val="single" w:sz="4" w:space="0" w:color="D0D5DD"/>
          <w:insideV w:val="none"/>
        </w:tblBorders>
      </w:tblPr>
      <w:tblGrid>
        <w:gridCol w:w="4824"/>
        <w:gridCol w:w="4824"/>
      </w:tblGrid>
      <w:tr>
        <w:tc>
          <w:tcPr>
            <w:tcW w:type="dxa" w:w="3168"/>
            <w:shd w:fill="F4F7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2D2926"/>
                <w:sz w:val="19"/>
              </w:rPr>
              <w:t>Institución:</w:t>
            </w:r>
          </w:p>
        </w:tc>
        <w:tc>
          <w:tcPr>
            <w:tcW w:type="dxa" w:w="6480"/>
            <w:shd w:fill="F4F7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9"/>
              </w:rPr>
              <w:t>Universidad Tecnológica de Huejotzingo (Puebla, México)</w:t>
            </w:r>
          </w:p>
        </w:tc>
      </w:tr>
      <w:tr>
        <w:tc>
          <w:tcPr>
            <w:tcW w:type="dxa" w:w="3168"/>
            <w:shd w:fill="F4F7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2D2926"/>
                <w:sz w:val="19"/>
              </w:rPr>
              <w:t>Plataforma Web:</w:t>
            </w:r>
          </w:p>
        </w:tc>
        <w:tc>
          <w:tcPr>
            <w:tcW w:type="dxa" w:w="6480"/>
            <w:shd w:fill="F4F7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9"/>
              </w:rPr>
              <w:t>exuth.uth.edu.mx  (Next.js 16 + React 19 + Tailwind CSS v4)</w:t>
            </w:r>
          </w:p>
        </w:tc>
      </w:tr>
      <w:tr>
        <w:tc>
          <w:tcPr>
            <w:tcW w:type="dxa" w:w="3168"/>
            <w:shd w:fill="F4F7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2D2926"/>
                <w:sz w:val="19"/>
              </w:rPr>
              <w:t>Fecha de Emisión:</w:t>
            </w:r>
          </w:p>
        </w:tc>
        <w:tc>
          <w:tcPr>
            <w:tcW w:type="dxa" w:w="6480"/>
            <w:shd w:fill="F4F7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9"/>
              </w:rPr>
              <w:t>28 de Septiembre de 2026</w:t>
            </w:r>
          </w:p>
        </w:tc>
      </w:tr>
      <w:tr>
        <w:tc>
          <w:tcPr>
            <w:tcW w:type="dxa" w:w="3168"/>
            <w:shd w:fill="F4F7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2D2926"/>
                <w:sz w:val="19"/>
              </w:rPr>
              <w:t>Encargado de Frontend:</w:t>
            </w:r>
          </w:p>
        </w:tc>
        <w:tc>
          <w:tcPr>
            <w:tcW w:type="dxa" w:w="6480"/>
            <w:shd w:fill="F4F7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9"/>
              </w:rPr>
              <w:t>Johan Yuri Martínez García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0A887"/>
          <w:sz w:val="23"/>
        </w:rPr>
        <w:t>ESTADO ACTUAL DE LOS SERVICIOS EN EL ENTORNO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left w:val="none"/>
          <w:right w:val="none"/>
          <w:insideH w:val="single" w:sz="4" w:space="0" w:color="E5E7EB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600"/>
            <w:shd w:fill="00A88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Componente / Servicio</w:t>
            </w:r>
          </w:p>
        </w:tc>
        <w:tc>
          <w:tcPr>
            <w:tcW w:type="dxa" w:w="1728"/>
            <w:shd w:fill="00A88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320"/>
            <w:shd w:fill="00A88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Dirección / Puerto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Backend API (Django REST)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A887"/>
                <w:sz w:val="18"/>
              </w:rPr>
              <w:t>ACTIVO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http://localhost:8080/api/v1/</w:t>
            </w:r>
          </w:p>
        </w:tc>
      </w:tr>
      <w:tr>
        <w:tc>
          <w:tcPr>
            <w:tcW w:type="dxa" w:w="3600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Documentación Swagger API</w:t>
            </w:r>
          </w:p>
        </w:tc>
        <w:tc>
          <w:tcPr>
            <w:tcW w:type="dxa" w:w="1728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A887"/>
                <w:sz w:val="18"/>
              </w:rPr>
              <w:t>ACTIVO</w:t>
            </w:r>
          </w:p>
        </w:tc>
        <w:tc>
          <w:tcPr>
            <w:tcW w:type="dxa" w:w="4320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http://localhost:8080/api/v1/docs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Panel Administración Django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A887"/>
                <w:sz w:val="18"/>
              </w:rPr>
              <w:t>ACTIVO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http://localhost:8080/admin/</w:t>
            </w:r>
          </w:p>
        </w:tc>
      </w:tr>
      <w:tr>
        <w:tc>
          <w:tcPr>
            <w:tcW w:type="dxa" w:w="3600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Base de Datos (MySQL 8 Docker)</w:t>
            </w:r>
          </w:p>
        </w:tc>
        <w:tc>
          <w:tcPr>
            <w:tcW w:type="dxa" w:w="1728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A887"/>
                <w:sz w:val="18"/>
              </w:rPr>
              <w:t>ACTIVO</w:t>
            </w:r>
          </w:p>
        </w:tc>
        <w:tc>
          <w:tcPr>
            <w:tcW w:type="dxa" w:w="4320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Puerto 3307 (interno 3306)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Servidor de Correos (smtp4dev)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A887"/>
                <w:sz w:val="18"/>
              </w:rPr>
              <w:t>ACTIVO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http://localhost:5000 (Web UI)</w:t>
            </w:r>
          </w:p>
        </w:tc>
      </w:tr>
      <w:tr>
        <w:tc>
          <w:tcPr>
            <w:tcW w:type="dxa" w:w="3600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Frontend Web (Next.js 16)</w:t>
            </w:r>
          </w:p>
        </w:tc>
        <w:tc>
          <w:tcPr>
            <w:tcW w:type="dxa" w:w="1728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A887"/>
                <w:sz w:val="18"/>
              </w:rPr>
              <w:t>ACTIVO</w:t>
            </w:r>
          </w:p>
        </w:tc>
        <w:tc>
          <w:tcPr>
            <w:tcW w:type="dxa" w:w="4320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color w:val="2D2926"/>
                <w:sz w:val="18"/>
              </w:rPr>
              <w:t>http://localhost:3000</w:t>
            </w:r>
          </w:p>
        </w:tc>
      </w:tr>
    </w:tbl>
    <w:p>
      <w:pPr>
        <w:spacing w:after="200"/>
      </w:pPr>
    </w:p>
    <w:p>
      <w:pPr>
        <w:keepNext/>
        <w:spacing w:before="320" w:after="80"/>
      </w:pPr>
      <w:r>
        <w:rPr>
          <w:rFonts w:ascii="Arial" w:hAnsi="Arial"/>
          <w:b/>
          <w:color w:val="00A887"/>
          <w:sz w:val="24"/>
        </w:rPr>
        <w:t>1. DIAGNÓSTICO INICIAL Y RESOLUCIÓN DE BLOQUEOS</w:t>
      </w:r>
    </w:p>
    <w:p>
      <w:pPr>
        <w:spacing w:before="40" w:after="80"/>
      </w:pPr>
      <w:r>
        <w:rPr>
          <w:rFonts w:ascii="Arial" w:hAnsi="Arial"/>
          <w:color w:val="2D2926"/>
          <w:sz w:val="19"/>
        </w:rPr>
        <w:t>Al inicio del proyecto se presentaron bloqueos de entorno en la máquina local que impedían levantar los contenedores y ejecutar la aplicación. Todos ellos fueron resueltos satisfactoriamente: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1.1. Docker Compose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Error presentado: </w:t>
      </w:r>
      <w:r>
        <w:rPr>
          <w:rFonts w:ascii="Arial" w:hAnsi="Arial"/>
          <w:color w:val="2D2926"/>
          <w:sz w:val="19"/>
        </w:rPr>
        <w:t>"unknown shorthand flag: 'd' in -d" al invocar docker compose.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Causa técnica: </w:t>
      </w:r>
      <w:r>
        <w:rPr>
          <w:rFonts w:ascii="Arial" w:hAnsi="Arial"/>
          <w:color w:val="2D2926"/>
          <w:sz w:val="19"/>
        </w:rPr>
        <w:t>El sistema operativo carecía del plugin oficial de Docker Compose para la CLI.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Solución implementada: </w:t>
      </w:r>
      <w:r>
        <w:rPr>
          <w:rFonts w:ascii="Arial" w:hAnsi="Arial"/>
          <w:color w:val="2D2926"/>
          <w:sz w:val="19"/>
        </w:rPr>
        <w:t>Se descargó e instaló el binario oficial de Docker Compose (v5.5.1) en el espacio de usuario (~/.docker/cli-plugins/docker-compose), habilitando la ejecución completa del stack.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1.2. Permisos del Socket de Docker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Error presentado: </w:t>
      </w:r>
      <w:r>
        <w:rPr>
          <w:rFonts w:ascii="Arial" w:hAnsi="Arial"/>
          <w:color w:val="2D2926"/>
          <w:sz w:val="19"/>
        </w:rPr>
        <w:t>"permission denied while trying to connect to the Docker daemon socket".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Causa técnica: </w:t>
      </w:r>
      <w:r>
        <w:rPr>
          <w:rFonts w:ascii="Arial" w:hAnsi="Arial"/>
          <w:color w:val="2D2926"/>
          <w:sz w:val="19"/>
        </w:rPr>
        <w:t>El usuario de sistema "yuri" no formaba parte del grupo privilegiado "docker".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Solución implementada: </w:t>
      </w:r>
      <w:r>
        <w:rPr>
          <w:rFonts w:ascii="Arial" w:hAnsi="Arial"/>
          <w:color w:val="2D2926"/>
          <w:sz w:val="19"/>
        </w:rPr>
        <w:t>Se vinculó el usuario al grupo con sudo usermod -aG docker $USER y se sincronizó la sesión mediante newgrp docker sin requerir reinicio del sistema.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1.3. Configuración de Variables de Entorno (.env)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Problema: </w:t>
      </w:r>
      <w:r>
        <w:rPr>
          <w:rFonts w:ascii="Arial" w:hAnsi="Arial"/>
          <w:color w:val="2D2926"/>
          <w:sz w:val="19"/>
        </w:rPr>
        <w:t>El archivo .env existía en la raíz pero todas sus variables se encontraban vacías.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Solución implementada: </w:t>
      </w:r>
      <w:r>
        <w:rPr>
          <w:rFonts w:ascii="Arial" w:hAnsi="Arial"/>
          <w:color w:val="2D2926"/>
          <w:sz w:val="19"/>
        </w:rPr>
        <w:t>Se configuraron credenciales locales operativas: base de datos "exuth_db", usuario "exuth_user", contraseñas, host MySQL "db", clave secreta de Django y el servicio smtp4dev.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1.4. Inicialización y Migración de la Base de Datos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Acción técnica: </w:t>
      </w:r>
      <w:r>
        <w:rPr>
          <w:rFonts w:ascii="Arial" w:hAnsi="Arial"/>
          <w:color w:val="2D2926"/>
          <w:sz w:val="19"/>
        </w:rPr>
        <w:t>Se aplicaron todas las migraciones estructurales de Django con python manage.py migrate.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Superusuario: </w:t>
      </w:r>
      <w:r>
        <w:rPr>
          <w:rFonts w:ascii="Arial" w:hAnsi="Arial"/>
          <w:color w:val="2D2926"/>
          <w:sz w:val="19"/>
        </w:rPr>
        <w:t>Se creó el administrador inicial de plataforma: johanyuri24@gmail.com.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Arranque sincronizado: </w:t>
      </w:r>
      <w:r>
        <w:rPr>
          <w:rFonts w:ascii="Arial" w:hAnsi="Arial"/>
          <w:color w:val="2D2926"/>
          <w:sz w:val="19"/>
        </w:rPr>
        <w:t>Se verificó la conectividad de red interna entre el contenedor de MySQL y Django.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1.5. Entorno Node.js para Desarrollo Frontend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Solución: </w:t>
      </w:r>
      <w:r>
        <w:rPr>
          <w:rFonts w:ascii="Arial" w:hAnsi="Arial"/>
          <w:color w:val="2D2926"/>
          <w:sz w:val="19"/>
        </w:rPr>
        <w:t>Se instaló Fast Node Manager (fnm) y Node.js v24 LTS con npm en el espacio de usuario, permitiendo compilar y ejecutar Next.js 16 sin interferir con paquetes del sistema operativo.</w:t>
      </w:r>
    </w:p>
    <w:p>
      <w:pPr>
        <w:keepNext/>
        <w:spacing w:before="320" w:after="80"/>
      </w:pPr>
      <w:r>
        <w:rPr>
          <w:rFonts w:ascii="Arial" w:hAnsi="Arial"/>
          <w:b/>
          <w:color w:val="00A887"/>
          <w:sz w:val="24"/>
        </w:rPr>
        <w:t>2. SISTEMA DE DISEÑO INSTITUCIONAL (frontend/DESIGN.md)</w:t>
      </w:r>
    </w:p>
    <w:p>
      <w:pPr>
        <w:spacing w:before="40" w:after="80"/>
      </w:pPr>
      <w:r>
        <w:rPr>
          <w:rFonts w:ascii="Arial" w:hAnsi="Arial"/>
          <w:color w:val="2D2926"/>
          <w:sz w:val="19"/>
        </w:rPr>
        <w:t>A solicitud expresa y rigurosa del cliente, se tomó como FUENTE ÚNICA Y EXCLUSIVA el documento oficial "Manual de Identidad Gráfica Institucional - Agosto 2021" de la Universidad Tecnológica de Huejotzingo. A partir de este documento normativo se construyó la especificación de tokens y estilos globales en frontend/DESIGN.md: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2.1. Paleta de Colores Oficiales (Tokens)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left w:val="none"/>
          <w:right w:val="none"/>
          <w:insideH w:val="single" w:sz="4" w:space="0" w:color="E5E7EB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fill="00A8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Color Institucional</w:t>
            </w:r>
          </w:p>
        </w:tc>
        <w:tc>
          <w:tcPr>
            <w:tcW w:type="dxa" w:w="1584"/>
            <w:shd w:fill="00A8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Código HEX</w:t>
            </w:r>
          </w:p>
        </w:tc>
        <w:tc>
          <w:tcPr>
            <w:tcW w:type="dxa" w:w="2592"/>
            <w:shd w:fill="00A8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Referencia Pantone / RGB</w:t>
            </w:r>
          </w:p>
        </w:tc>
        <w:tc>
          <w:tcPr>
            <w:tcW w:type="dxa" w:w="2880"/>
            <w:shd w:fill="00A8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 en la Plataforma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Verde Institucional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#00A887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Pantone Green C</w:t>
              <w:br/>
              <w:t>(0, 168, 135)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Color rector: botones principales de acción (CTA), estados activos, badges y bordes.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Negro Institucional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#2D2926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Pantone Black C</w:t>
              <w:br/>
              <w:t>(45, 41, 38)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Color base: tipografías principales (H1-H4), contraste, navbar de fondo y footer.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Guinda Institucional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#691C32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Pantone 7421</w:t>
              <w:br/>
              <w:t>(105, 28, 50)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Acento normativo: pleca superior oficial (70% de ancho) y enlaces de navegación.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Rojo Alerta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#A8123E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Pantone 7426</w:t>
              <w:br/>
              <w:t>(168, 18, 62)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Estados de validación: mensajes de error, vacantes rechazadas y acciones destructivas.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Dorado Institucional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#C2BA98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Pantone 453</w:t>
              <w:br/>
              <w:t>(194, 186, 152)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Pleca complementaria (30% de ancho), distintivos de honor y sellos institucionales.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Crema Institucional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#D6D1C4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Pantone 7527</w:t>
              <w:br/>
              <w:t>(214, 209, 196)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Fondos suaves, tarjetas secundarias y contenedores con baja saturación.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Gris Neutro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#A6A6A8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Cool Gray</w:t>
              <w:br/>
              <w:t>(166, 166, 168)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Bordes estructurales de inputs, divisores horizontales y placeholders.</w:t>
            </w:r>
          </w:p>
        </w:tc>
      </w:tr>
    </w:tbl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2.2. Tipografía Oficial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Tipografía Primaria para Plataforma Web: </w:t>
      </w:r>
      <w:r>
        <w:rPr>
          <w:rFonts w:ascii="Arial" w:hAnsi="Arial"/>
          <w:color w:val="2D2926"/>
          <w:sz w:val="19"/>
        </w:rPr>
        <w:t>Arial / Sans-serif limpia (fuente obligatoria según lineamientos para medios digitales de la UTH).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Tipografía para Documentos Solemnes: </w:t>
      </w:r>
      <w:r>
        <w:rPr>
          <w:rFonts w:ascii="Arial" w:hAnsi="Arial"/>
          <w:color w:val="2D2926"/>
          <w:sz w:val="19"/>
        </w:rPr>
        <w:t>Times New Roman (reservada para generación de constancias oficiales y acuerdos de vinculación).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2.3. Protección y Convivencia del Imagotipo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Isotipo Quetzalcóatl Náhuatl: </w:t>
      </w:r>
      <w:r>
        <w:rPr>
          <w:rFonts w:ascii="Arial" w:hAnsi="Arial"/>
          <w:color w:val="2D2926"/>
          <w:sz w:val="19"/>
        </w:rPr>
        <w:t>Representa el cambio y evolución positiva de la institución. No puede ser deformado ni alterado en proporciones.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Convivencia Horizontal: </w:t>
      </w:r>
      <w:r>
        <w:rPr>
          <w:rFonts w:ascii="Arial" w:hAnsi="Arial"/>
          <w:color w:val="2D2926"/>
          <w:sz w:val="19"/>
        </w:rPr>
        <w:t>Obligatoria en la cabecera (Navbar) web para optimizar el espacio vertical de la pantalla.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Convivencia Vertical: </w:t>
      </w:r>
      <w:r>
        <w:rPr>
          <w:rFonts w:ascii="Arial" w:hAnsi="Arial"/>
          <w:color w:val="2D2926"/>
          <w:sz w:val="19"/>
        </w:rPr>
        <w:t>Destinada a portadas solemnes, pantallas de inicio de sesión y pie de página.</w:t>
      </w:r>
    </w:p>
    <w:p>
      <w:pPr>
        <w:keepNext/>
        <w:spacing w:before="320" w:after="80"/>
      </w:pPr>
      <w:r>
        <w:rPr>
          <w:rFonts w:ascii="Arial" w:hAnsi="Arial"/>
          <w:b/>
          <w:color w:val="00A887"/>
          <w:sz w:val="24"/>
        </w:rPr>
        <w:t>3. MÓDULOS Y PANTALLAS CONSTRUIDAS EN EL FRONTEND</w:t>
      </w:r>
    </w:p>
    <w:p>
      <w:pPr>
        <w:spacing w:before="40" w:after="80"/>
      </w:pPr>
      <w:r>
        <w:rPr>
          <w:rFonts w:ascii="Arial" w:hAnsi="Arial"/>
          <w:color w:val="2D2926"/>
          <w:sz w:val="19"/>
        </w:rPr>
        <w:t>El frontend fue estructurado bajo la arquitectura de Next.js 16 (App Router), React 19, TypeScript y Tailwind CSS v4, garantizando alta velocidad de renderizado, optimización SEO y diseño adaptativo multidispositivo: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3.1. Componentes Base e Institucionales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UthLogo.tsx: </w:t>
      </w:r>
      <w:r>
        <w:rPr>
          <w:rFonts w:ascii="Arial" w:hAnsi="Arial"/>
          <w:color w:val="2D2926"/>
          <w:sz w:val="19"/>
        </w:rPr>
        <w:t>Componente SVG vectorial nativo de alta resolución que incluye la cabeza de Quetzalcóatl y la tipografía oficial en variantes horizontal y vertical.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Navbar.tsx: </w:t>
      </w:r>
      <w:r>
        <w:rPr>
          <w:rFonts w:ascii="Arial" w:hAnsi="Arial"/>
          <w:color w:val="2D2926"/>
          <w:sz w:val="19"/>
        </w:rPr>
        <w:t>Cabecera fija con la pleca superior bicolor institucional (Guinda #691C32 al 70% y Dorado #C2BA98 al 30%), logotipo oficial y accesos directos por rol.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Footer.tsx: </w:t>
      </w:r>
      <w:r>
        <w:rPr>
          <w:rFonts w:ascii="Arial" w:hAnsi="Arial"/>
          <w:color w:val="2D2926"/>
          <w:sz w:val="19"/>
        </w:rPr>
        <w:t>Pie de página institucional con la dirección legal oficial (Santa Ana Xalmimilulco, Huejotzingo, Puebla), datos de contacto, teléfonos y avisos de privacidad.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3.2. Página de Inicio / Landing Page (src/app/page.tsx)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Hero Institucional: </w:t>
      </w:r>
      <w:r>
        <w:rPr>
          <w:rFonts w:ascii="Arial" w:hAnsi="Arial"/>
          <w:color w:val="2D2926"/>
          <w:sz w:val="19"/>
        </w:rPr>
        <w:t>Encabezado de impacto visual con el lema universitario y buscador ágil por palabra clave y modalidad.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Métricas Universitarias: </w:t>
      </w:r>
      <w:r>
        <w:rPr>
          <w:rFonts w:ascii="Arial" w:hAnsi="Arial"/>
          <w:color w:val="2D2926"/>
          <w:sz w:val="19"/>
        </w:rPr>
        <w:t>Indicadores visuales en tiempo real (15+ programas de TSU, 10+ Ingenierías, cobertura en más de 42 municipios y 40 km a la redonda).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Portales por Perfil: </w:t>
      </w:r>
      <w:r>
        <w:rPr>
          <w:rFonts w:ascii="Arial" w:hAnsi="Arial"/>
          <w:color w:val="2D2926"/>
          <w:sz w:val="19"/>
        </w:rPr>
        <w:t>Tarjetas de acceso rápido e informativo para Egresados, Empresas y Vinculación Institucional.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Vacantes Destacadas: </w:t>
      </w:r>
      <w:r>
        <w:rPr>
          <w:rFonts w:ascii="Arial" w:hAnsi="Arial"/>
          <w:color w:val="2D2926"/>
          <w:sz w:val="19"/>
        </w:rPr>
        <w:t>Listado de ofertas de trabajo recientemente validadas por la universidad.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3.3. Catálogo de Vacantes con Filtros Vivos (src/app/vacantes/page.tsx)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Barra Lateral de Filtros Interactivos (JobFilters.tsx): </w:t>
      </w:r>
      <w:r>
        <w:rPr>
          <w:rFonts w:ascii="Arial" w:hAnsi="Arial"/>
          <w:color w:val="2D2926"/>
          <w:sz w:val="19"/>
        </w:rPr>
        <w:t>Permite filtrar por búsqueda textual, nivel académico (TSU / Ingeniería), área de estudio (dinámica desde la base de datos), modalidad laboral (Presencial, Híbrido, Home Office), prestación de Transporte UTH y ordenamiento por fecha o rango salarial.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Tarjetas de Vacante (JobCard.tsx): </w:t>
      </w:r>
      <w:r>
        <w:rPr>
          <w:rFonts w:ascii="Arial" w:hAnsi="Arial"/>
          <w:color w:val="2D2926"/>
          <w:sz w:val="19"/>
        </w:rPr>
        <w:t>Presentación estructurada con sueldo formateado en moneda nacional ($ MXN), etiquetas de modalidad, empresa y botón directo de consulta.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Control de Estados Vacíos: </w:t>
      </w:r>
      <w:r>
        <w:rPr>
          <w:rFonts w:ascii="Arial" w:hAnsi="Arial"/>
          <w:color w:val="2D2926"/>
          <w:sz w:val="19"/>
        </w:rPr>
        <w:t>Mensaje descriptivo cuando no existen vacantes que coincidan con los criterios de búsqueda seleccionados.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3.4. Ficha Detallada de Vacante (src/app/vacantes/[id]/page.tsx)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Encabezado Oficial: </w:t>
      </w:r>
      <w:r>
        <w:rPr>
          <w:rFonts w:ascii="Arial" w:hAnsi="Arial"/>
          <w:color w:val="2D2926"/>
          <w:sz w:val="19"/>
        </w:rPr>
        <w:t>Clave de registro institucional (ej. UTH-2026-VAC-6C909A), título del puesto y nombre de la empresa oferente.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Ficha Técnica: </w:t>
      </w:r>
      <w:r>
        <w:rPr>
          <w:rFonts w:ascii="Arial" w:hAnsi="Arial"/>
          <w:color w:val="2D2926"/>
          <w:sz w:val="19"/>
        </w:rPr>
        <w:t>Horario laboral, tipo de contratación y número de plazas disponibles.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Actividades y Responsabilidades: </w:t>
      </w:r>
      <w:r>
        <w:rPr>
          <w:rFonts w:ascii="Arial" w:hAnsi="Arial"/>
          <w:color w:val="2D2926"/>
          <w:sz w:val="19"/>
        </w:rPr>
        <w:t>Desglose claro de las funciones a desempeñar.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Perfil Académico y Técnico: </w:t>
      </w:r>
      <w:r>
        <w:rPr>
          <w:rFonts w:ascii="Arial" w:hAnsi="Arial"/>
          <w:color w:val="2D2926"/>
          <w:sz w:val="19"/>
        </w:rPr>
        <w:t>Requisitos de experiencia, conocimientos clave, habilidades y actitudes esperadas.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Prestaciones y Beneficios: </w:t>
      </w:r>
      <w:r>
        <w:rPr>
          <w:rFonts w:ascii="Arial" w:hAnsi="Arial"/>
          <w:color w:val="2D2926"/>
          <w:sz w:val="19"/>
        </w:rPr>
        <w:t>Prestaciones de ley y superiores ofrecidas por la empresa contratante.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Sello de Validación UTH: </w:t>
      </w:r>
      <w:r>
        <w:rPr>
          <w:rFonts w:ascii="Arial" w:hAnsi="Arial"/>
          <w:color w:val="2D2926"/>
          <w:sz w:val="19"/>
        </w:rPr>
        <w:t>Insignia oficial que confirma la supervisión y visto bueno del Departamento de Vinculación.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Botón de Postulación: </w:t>
      </w:r>
      <w:r>
        <w:rPr>
          <w:rFonts w:ascii="Arial" w:hAnsi="Arial"/>
          <w:color w:val="2D2926"/>
          <w:sz w:val="19"/>
        </w:rPr>
        <w:t>Acción principal para iniciar el proceso de postulación a la vacante.</w:t>
      </w:r>
    </w:p>
    <w:p>
      <w:pPr>
        <w:keepNext/>
        <w:spacing w:before="320" w:after="80"/>
      </w:pPr>
      <w:r>
        <w:rPr>
          <w:rFonts w:ascii="Arial" w:hAnsi="Arial"/>
          <w:b/>
          <w:color w:val="00A887"/>
          <w:sz w:val="24"/>
        </w:rPr>
        <w:t>4. AJUSTES REALIZADOS EN EL BACKEND (DJANGO)</w:t>
      </w:r>
    </w:p>
    <w:p>
      <w:pPr>
        <w:spacing w:before="40" w:after="80"/>
      </w:pPr>
      <w:r>
        <w:rPr>
          <w:rFonts w:ascii="Arial" w:hAnsi="Arial"/>
          <w:color w:val="2D2926"/>
          <w:sz w:val="19"/>
        </w:rPr>
        <w:t>Para posibilitar la integración fluida y desacoplada con el frontend en Next.js, se efectuaron las siguientes configuraciones en la API: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4.1. Habilitación de CORS (Cross-Origin Resource Sharing)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Configuración: </w:t>
      </w:r>
      <w:r>
        <w:rPr>
          <w:rFonts w:ascii="Arial" w:hAnsi="Arial"/>
          <w:color w:val="2D2926"/>
          <w:sz w:val="19"/>
        </w:rPr>
        <w:t>Se agregó http://localhost:3000 a la lista CORS_ALLOWED_ORIGINS en backend/config/settings.py para autorizar peticiones asíncronas desde el navegador.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4.2. Políticas de Acceso Público de Lectura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Permisos de Exploración: </w:t>
      </w:r>
      <w:r>
        <w:rPr>
          <w:rFonts w:ascii="Arial" w:hAnsi="Arial"/>
          <w:color w:val="2D2926"/>
          <w:sz w:val="19"/>
        </w:rPr>
        <w:t>Se flexibilizó la política de VacanteViewSet a IsAuthenticatedOrReadOnly y los catálogos en core/views.py a IsAdminOrReadOnly. Esto permite que cualquier estudiante o egresado explore el catálogo sin obligarlo a autenticarse prematuramente.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4.3. Enriquecimiento de Serializadores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Campos Calculados: </w:t>
      </w:r>
      <w:r>
        <w:rPr>
          <w:rFonts w:ascii="Arial" w:hAnsi="Arial"/>
          <w:color w:val="2D2926"/>
          <w:sz w:val="19"/>
        </w:rPr>
        <w:t>Se incorporaron los campos empresa_nombre y area_estudio_nombre en VacanteSerializer, evitando peticiones anidadas adicionales desde el cliente web.</w:t>
      </w:r>
    </w:p>
    <w:p>
      <w:pPr>
        <w:keepNext/>
        <w:spacing w:before="200" w:after="40"/>
      </w:pPr>
      <w:r>
        <w:rPr>
          <w:rFonts w:ascii="Arial" w:hAnsi="Arial"/>
          <w:b/>
          <w:color w:val="691C32"/>
          <w:sz w:val="20"/>
        </w:rPr>
        <w:t>4.4. Poblamiento de Catálogos y Vacantes Piloto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Comando seed_catalogs: </w:t>
      </w:r>
      <w:r>
        <w:rPr>
          <w:rFonts w:ascii="Arial" w:hAnsi="Arial"/>
          <w:color w:val="2D2926"/>
          <w:sz w:val="19"/>
        </w:rPr>
        <w:t>Se poblaron áreas de estudio, idiomas, giros y sectores oficiales.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Vacantes de Demostración: </w:t>
      </w:r>
      <w:r>
        <w:rPr>
          <w:rFonts w:ascii="Arial" w:hAnsi="Arial"/>
          <w:color w:val="2D2926"/>
          <w:sz w:val="19"/>
        </w:rPr>
        <w:t>Se generaron 3 ofertas con perfiles reales (Desarrollador Junior TSU en Tecnologías de la Información, Supervisor de Mantenimiento Mecatrónico y Analista de Logística y Transporte).</w:t>
      </w:r>
    </w:p>
    <w:p>
      <w:pPr>
        <w:keepNext/>
        <w:spacing w:before="320" w:after="80"/>
      </w:pPr>
      <w:r>
        <w:rPr>
          <w:rFonts w:ascii="Arial" w:hAnsi="Arial"/>
          <w:b/>
          <w:color w:val="00A887"/>
          <w:sz w:val="24"/>
        </w:rPr>
        <w:t>5. VERIFICACIÓN TÉCNICA</w:t>
      </w:r>
    </w:p>
    <w:p>
      <w:pPr>
        <w:spacing w:before="40" w:after="80"/>
      </w:pPr>
      <w:r>
        <w:rPr>
          <w:rFonts w:ascii="Arial" w:hAnsi="Arial"/>
          <w:color w:val="2D2926"/>
          <w:sz w:val="19"/>
        </w:rPr>
        <w:t>Se completaron pruebas de integración entre el frontend y el backend: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Compilación de Producción: </w:t>
      </w:r>
      <w:r>
        <w:rPr>
          <w:rFonts w:ascii="Arial" w:hAnsi="Arial"/>
          <w:color w:val="2D2926"/>
          <w:sz w:val="19"/>
        </w:rPr>
        <w:t>El comando npm run build finalizó exitosamente sin ningún error de TypeScript ni dependencias rotas (5 rutas compiladas).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Respuesta de la API (Backend): </w:t>
      </w:r>
      <w:r>
        <w:rPr>
          <w:rFonts w:ascii="Arial" w:hAnsi="Arial"/>
          <w:color w:val="2D2926"/>
          <w:sz w:val="19"/>
        </w:rPr>
        <w:t>Endpoint http://localhost:8080/api/v1/vacantes/ responde con HTTP 200 OK y entrega el JSON con las vacantes registradas.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2D2926"/>
          <w:sz w:val="19"/>
        </w:rPr>
        <w:t xml:space="preserve">Renderizado del Frontend: </w:t>
      </w:r>
      <w:r>
        <w:rPr>
          <w:rFonts w:ascii="Arial" w:hAnsi="Arial"/>
          <w:color w:val="2D2926"/>
          <w:sz w:val="19"/>
        </w:rPr>
        <w:t>http://localhost:3000 y http://localhost:3000/vacantes cargan de forma instantánea con el contenido sincronizado.</w:t>
      </w:r>
    </w:p>
    <w:p>
      <w:pPr>
        <w:keepNext/>
        <w:spacing w:before="320" w:after="80"/>
      </w:pPr>
      <w:r>
        <w:rPr>
          <w:rFonts w:ascii="Arial" w:hAnsi="Arial"/>
          <w:b/>
          <w:color w:val="00A887"/>
          <w:sz w:val="24"/>
        </w:rPr>
        <w:t>6. HOJA DE RUTA: QUÉ SIGUE A CONTINUACIÓN</w:t>
      </w:r>
    </w:p>
    <w:p>
      <w:pPr>
        <w:spacing w:before="40" w:after="80"/>
      </w:pPr>
      <w:r>
        <w:rPr>
          <w:rFonts w:ascii="Arial" w:hAnsi="Arial"/>
          <w:color w:val="2D2926"/>
          <w:sz w:val="19"/>
        </w:rPr>
        <w:t>Con la base institucional y el catálogo público concluidos, se definen los siguientes 5 pasos prioritarios para completar el ciclo de la plataforma: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left w:val="none"/>
          <w:right w:val="none"/>
          <w:insideH w:val="single" w:sz="4" w:space="0" w:color="E5E7EB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1728"/>
            <w:shd w:fill="691C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Paso / Fase</w:t>
            </w:r>
          </w:p>
        </w:tc>
        <w:tc>
          <w:tcPr>
            <w:tcW w:type="dxa" w:w="2880"/>
            <w:shd w:fill="691C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5040"/>
            <w:shd w:fill="691C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Objetivo y Entregables Clave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A887"/>
                <w:sz w:val="17"/>
              </w:rPr>
              <w:t>PASO 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Autenticación y Registro</w:t>
              <w:br/>
              <w:t>(/login y /registro)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Pantalla unificada con JWT (/api/v1/auth/jwt/create/). Pestañas de registro para Egresados (matrícula, CURP, carrera) y Empresas (RFC, razón social, RH).</w:t>
            </w:r>
          </w:p>
        </w:tc>
      </w:tr>
      <w:tr>
        <w:tc>
          <w:tcPr>
            <w:tcW w:type="dxa" w:w="172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A887"/>
                <w:sz w:val="17"/>
              </w:rPr>
              <w:t>PASO 2</w:t>
            </w:r>
          </w:p>
        </w:tc>
        <w:tc>
          <w:tcPr>
            <w:tcW w:type="dxa" w:w="288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Flujo de Postulación</w:t>
            </w:r>
          </w:p>
        </w:tc>
        <w:tc>
          <w:tcPr>
            <w:tcW w:type="dxa" w:w="504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Conexión del botón "Postularme" hacia /api/v1/vacantes/postulaciones/. Registro de la postulación con estatus inicial "En revisión UTH".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A887"/>
                <w:sz w:val="17"/>
              </w:rPr>
              <w:t>PASO 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Portal del Egresado</w:t>
              <w:br/>
              <w:t>(/portal-egresado)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Gestión de perfil profesional, carga de CV en PDF y rastreador en vivo del estatus de postulaciones (Revisión UTH -&gt; Enviada a Empresa -&gt; Aceptada/Rechazada).</w:t>
            </w:r>
          </w:p>
        </w:tc>
      </w:tr>
      <w:tr>
        <w:tc>
          <w:tcPr>
            <w:tcW w:type="dxa" w:w="1728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A887"/>
                <w:sz w:val="17"/>
              </w:rPr>
              <w:t>PASO 4</w:t>
            </w:r>
          </w:p>
        </w:tc>
        <w:tc>
          <w:tcPr>
            <w:tcW w:type="dxa" w:w="288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Portal de la Empresa</w:t>
              <w:br/>
              <w:t>(/portal-empresa)</w:t>
            </w:r>
          </w:p>
        </w:tc>
        <w:tc>
          <w:tcPr>
            <w:tcW w:type="dxa" w:w="5040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Formulario institucional para publicar nuevas ofertas laborales y panel de candidatos filtrados y pre-aprobados por la UTH para descarga de CV.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A887"/>
                <w:sz w:val="17"/>
              </w:rPr>
              <w:t>PASO 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2926"/>
                <w:sz w:val="17"/>
              </w:rPr>
              <w:t>Panel Vinculación UTH</w:t>
              <w:br/>
              <w:t>(/admin-uth)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2926"/>
                <w:sz w:val="17"/>
              </w:rPr>
              <w:t>Revisión y autorización previa de vacantes emitidas por empresas, validación curricular de egresados y generación de reportes normativos.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36569"/>
        <w:sz w:val="17"/>
      </w:rPr>
      <w:t>Universidad Tecnológica de Huejotzingo  |  Bolsa de Trabajo Institucional (exuth.uth.edu.mx)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