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ind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962275" cy="154305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962275"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2"/>
          <w:szCs w:val="32"/>
          <w:rtl w:val="0"/>
        </w:rPr>
        <w:t xml:space="preserve">TechGrowth: Da Fragmentação ao Lakehouse Celular</w:t>
      </w:r>
      <w:r w:rsidDel="00000000" w:rsidR="00000000" w:rsidRPr="00000000">
        <w:rPr>
          <w:rtl w:val="0"/>
        </w:rPr>
      </w:r>
    </w:p>
    <w:p w:rsidR="00000000" w:rsidDel="00000000" w:rsidP="00000000" w:rsidRDefault="00000000" w:rsidRPr="00000000" w14:paraId="00000005">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Arquitetura de Dados Distribuída com Kappa Streaming, Continuous Close, Crypto-Shredding e Validação por Simulação de Eventos Discretos</w:t>
      </w:r>
      <w:r w:rsidDel="00000000" w:rsidR="00000000" w:rsidRPr="00000000">
        <w:rPr>
          <w:rtl w:val="0"/>
        </w:rPr>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Carlos Ulisses Flores</w:t>
      </w:r>
    </w:p>
    <w:p w:rsidR="00000000" w:rsidDel="00000000" w:rsidP="00000000" w:rsidRDefault="00000000" w:rsidRPr="00000000" w14:paraId="0000000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AMERICAN GLOBAL TECH UNIVERSITY</w:t>
      </w:r>
      <w:r w:rsidDel="00000000" w:rsidR="00000000" w:rsidRPr="00000000">
        <w:rPr>
          <w:rtl w:val="0"/>
        </w:rPr>
      </w:r>
    </w:p>
    <w:p w:rsidR="00000000" w:rsidDel="00000000" w:rsidP="00000000" w:rsidRDefault="00000000" w:rsidRPr="00000000" w14:paraId="0000000B">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MESTRADO EM INTELIGÊNCIA ARTIFICIAL</w:t>
      </w:r>
    </w:p>
    <w:p w:rsidR="00000000" w:rsidDel="00000000" w:rsidP="00000000" w:rsidRDefault="00000000" w:rsidRPr="00000000" w14:paraId="0000000C">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MIT-508 — Data Platform Engineering da American Global Tech University - AGTU.</w:t>
      </w:r>
    </w:p>
    <w:p w:rsidR="00000000" w:rsidDel="00000000" w:rsidP="00000000" w:rsidRDefault="00000000" w:rsidRPr="00000000" w14:paraId="0000000E">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Dr. Emerson Rodolfo Abraham</w:t>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120" w:line="480" w:lineRule="auto"/>
        <w:jc w:val="center"/>
        <w:rPr>
          <w:rFonts w:ascii="Times New Roman" w:cs="Times New Roman" w:eastAsia="Times New Roman" w:hAnsi="Times New Roman"/>
          <w:sz w:val="24"/>
          <w:szCs w:val="24"/>
        </w:rPr>
        <w:sectPr>
          <w:headerReference r:id="rId8" w:type="default"/>
          <w:headerReference r:id="rId9" w:type="first"/>
          <w:footerReference r:id="rId10" w:type="first"/>
          <w:pgSz w:h="15840" w:w="12240" w:orient="portrait"/>
          <w:pgMar w:bottom="1440" w:top="1440" w:left="1440" w:right="1440" w:header="720" w:footer="720"/>
          <w:pgNumType w:start="0"/>
          <w:titlePg w:val="1"/>
        </w:sectPr>
      </w:pPr>
      <w:r w:rsidDel="00000000" w:rsidR="00000000" w:rsidRPr="00000000">
        <w:rPr>
          <w:rFonts w:ascii="Times New Roman" w:cs="Times New Roman" w:eastAsia="Times New Roman" w:hAnsi="Times New Roman"/>
          <w:sz w:val="24"/>
          <w:szCs w:val="24"/>
          <w:rtl w:val="0"/>
        </w:rPr>
        <w:t xml:space="preserve">28 de março de 2026</w:t>
      </w:r>
    </w:p>
    <w:p w:rsidR="00000000" w:rsidDel="00000000" w:rsidP="00000000" w:rsidRDefault="00000000" w:rsidRPr="00000000" w14:paraId="00000012">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Resumo</w:t>
      </w:r>
      <w:r w:rsidDel="00000000" w:rsidR="00000000" w:rsidRPr="00000000">
        <w:rPr>
          <w:rtl w:val="0"/>
        </w:rPr>
      </w:r>
    </w:p>
    <w:p w:rsidR="00000000" w:rsidDel="00000000" w:rsidP="00000000" w:rsidRDefault="00000000" w:rsidRPr="00000000" w14:paraId="0000001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estudo de caso analisa a modernização do ecossistema de dados da TechGrowth, empresa de </w:t>
      </w:r>
      <w:r w:rsidDel="00000000" w:rsidR="00000000" w:rsidRPr="00000000">
        <w:rPr>
          <w:rFonts w:ascii="Times New Roman" w:cs="Times New Roman" w:eastAsia="Times New Roman" w:hAnsi="Times New Roman"/>
          <w:i w:val="1"/>
          <w:iCs w:val="1"/>
          <w:sz w:val="24"/>
          <w:szCs w:val="24"/>
          <w:rtl w:val="0"/>
        </w:rPr>
        <w:t xml:space="preserve">e-commerce</w:t>
      </w:r>
      <w:r w:rsidDel="00000000" w:rsidR="00000000" w:rsidRPr="00000000">
        <w:rPr>
          <w:rFonts w:ascii="Times New Roman" w:cs="Times New Roman" w:eastAsia="Times New Roman" w:hAnsi="Times New Roman"/>
          <w:sz w:val="24"/>
          <w:szCs w:val="24"/>
          <w:rtl w:val="0"/>
        </w:rPr>
        <w:t xml:space="preserve"> em rápido crescimento que enfrenta fragmentação em silos, inconsistência semântica e ausência de rastreabilidade — condição denominada </w:t>
      </w:r>
      <w:r w:rsidDel="00000000" w:rsidR="00000000" w:rsidRPr="00000000">
        <w:rPr>
          <w:rFonts w:ascii="Times New Roman" w:cs="Times New Roman" w:eastAsia="Times New Roman" w:hAnsi="Times New Roman"/>
          <w:i w:val="1"/>
          <w:iCs w:val="1"/>
          <w:sz w:val="24"/>
          <w:szCs w:val="24"/>
          <w:rtl w:val="0"/>
        </w:rPr>
        <w:t xml:space="preserve">Hollow Core</w:t>
      </w:r>
      <w:r w:rsidDel="00000000" w:rsidR="00000000" w:rsidRPr="00000000">
        <w:rPr>
          <w:rFonts w:ascii="Times New Roman" w:cs="Times New Roman" w:eastAsia="Times New Roman" w:hAnsi="Times New Roman"/>
          <w:sz w:val="24"/>
          <w:szCs w:val="24"/>
          <w:rtl w:val="0"/>
        </w:rPr>
        <w:t xml:space="preserve">. Propõe-se uma arquitetura </w:t>
      </w:r>
      <w:r w:rsidDel="00000000" w:rsidR="00000000" w:rsidRPr="00000000">
        <w:rPr>
          <w:rFonts w:ascii="Times New Roman" w:cs="Times New Roman" w:eastAsia="Times New Roman" w:hAnsi="Times New Roman"/>
          <w:i w:val="1"/>
          <w:iCs w:val="1"/>
          <w:sz w:val="24"/>
          <w:szCs w:val="24"/>
          <w:rtl w:val="0"/>
        </w:rPr>
        <w:t xml:space="preserve">Data Lakehouse</w:t>
      </w:r>
      <w:r w:rsidDel="00000000" w:rsidR="00000000" w:rsidRPr="00000000">
        <w:rPr>
          <w:rFonts w:ascii="Times New Roman" w:cs="Times New Roman" w:eastAsia="Times New Roman" w:hAnsi="Times New Roman"/>
          <w:sz w:val="24"/>
          <w:szCs w:val="24"/>
          <w:rtl w:val="0"/>
        </w:rPr>
        <w:t xml:space="preserve"> sobre Apache Iceberg com ingestão dual: caminho de </w:t>
      </w:r>
      <w:r w:rsidDel="00000000" w:rsidR="00000000" w:rsidRPr="00000000">
        <w:rPr>
          <w:rFonts w:ascii="Times New Roman" w:cs="Times New Roman" w:eastAsia="Times New Roman" w:hAnsi="Times New Roman"/>
          <w:i w:val="1"/>
          <w:iCs w:val="1"/>
          <w:sz w:val="24"/>
          <w:szCs w:val="24"/>
          <w:rtl w:val="0"/>
        </w:rPr>
        <w:t xml:space="preserve">streaming</w:t>
      </w:r>
      <w:r w:rsidDel="00000000" w:rsidR="00000000" w:rsidRPr="00000000">
        <w:rPr>
          <w:rFonts w:ascii="Times New Roman" w:cs="Times New Roman" w:eastAsia="Times New Roman" w:hAnsi="Times New Roman"/>
          <w:sz w:val="24"/>
          <w:szCs w:val="24"/>
          <w:rtl w:val="0"/>
        </w:rPr>
        <w:t xml:space="preserve"> via Kafka e Flink para SLA inferior a cinco minutos, e processamento incremental em modelo </w:t>
      </w:r>
      <w:r w:rsidDel="00000000" w:rsidR="00000000" w:rsidRPr="00000000">
        <w:rPr>
          <w:rFonts w:ascii="Times New Roman" w:cs="Times New Roman" w:eastAsia="Times New Roman" w:hAnsi="Times New Roman"/>
          <w:i w:val="1"/>
          <w:iCs w:val="1"/>
          <w:sz w:val="24"/>
          <w:szCs w:val="24"/>
          <w:rtl w:val="0"/>
        </w:rPr>
        <w:t xml:space="preserve">Continuous Close</w:t>
      </w:r>
      <w:r w:rsidDel="00000000" w:rsidR="00000000" w:rsidRPr="00000000">
        <w:rPr>
          <w:rFonts w:ascii="Times New Roman" w:cs="Times New Roman" w:eastAsia="Times New Roman" w:hAnsi="Times New Roman"/>
          <w:sz w:val="24"/>
          <w:szCs w:val="24"/>
          <w:rtl w:val="0"/>
        </w:rPr>
        <w:t xml:space="preserve"> com fechamentos financeiros a cada seis horas. A governança é operacionalizada por contratos de dados na Arquitetura Medallion com cinco regras de qualidade verificáveis. A conformidade com a LGPD sobre arquivos Parquet imutáveis é garantida via destruição criptográfica de chaves (AES-128-GCM). A viabilidade foi validada por simulação de eventos discretos, que processou 191.317 eventos com 100% de conformidade sob estresse de 5.800 eventos por segundo e injeção de partições de rede.</w:t>
      </w:r>
    </w:p>
    <w:p w:rsidR="00000000" w:rsidDel="00000000" w:rsidP="00000000" w:rsidRDefault="00000000" w:rsidRPr="00000000" w14:paraId="00000014">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after="240" w:before="12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 </w:t>
      </w:r>
      <w:r w:rsidDel="00000000" w:rsidR="00000000" w:rsidRPr="00000000">
        <w:rPr>
          <w:rFonts w:ascii="Times New Roman" w:cs="Times New Roman" w:eastAsia="Times New Roman" w:hAnsi="Times New Roman"/>
          <w:sz w:val="24"/>
          <w:szCs w:val="24"/>
          <w:rtl w:val="0"/>
        </w:rPr>
        <w:t xml:space="preserve">data lakehouse; arquitetura kappa; crypto-shredding; continuous close; lgpd; finops.</w:t>
      </w:r>
    </w:p>
    <w:p w:rsidR="00000000" w:rsidDel="00000000" w:rsidP="00000000" w:rsidRDefault="00000000" w:rsidRPr="00000000" w14:paraId="0000001B">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Abstract</w:t>
      </w:r>
      <w:r w:rsidDel="00000000" w:rsidR="00000000" w:rsidRPr="00000000">
        <w:rPr>
          <w:rtl w:val="0"/>
        </w:rPr>
      </w:r>
    </w:p>
    <w:p w:rsidR="00000000" w:rsidDel="00000000" w:rsidP="00000000" w:rsidRDefault="00000000" w:rsidRPr="00000000" w14:paraId="0000001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case study examines the data ecosystem modernization of TechGrowth, a rapidly growing e-commerce company facing fragmentation into silos, semantic inconsistency, and lack of traceability — a condition termed Hollow Core. A Data Lakehouse architecture on Apache Iceberg is proposed with dual ingestion: a streaming path via Kafka and Flink for SLAs under five minutes, and incremental processing in a Continuous Close model with financial settlements every six hours. Governance is enforced through Data Contracts in the Medallion Architecture with five verifiable quality rules. Compliance with Brazil’s LGPD over immutable Parquet files is achieved via cryptographic key destruction (AES-128-GCM). Feasibility was validated through a discrete event Simulation, which processed 191,317 events with 100% compliance under stress of 5,800 events per second and network partition injection.</w:t>
      </w:r>
    </w:p>
    <w:p w:rsidR="00000000" w:rsidDel="00000000" w:rsidP="00000000" w:rsidRDefault="00000000" w:rsidRPr="00000000" w14:paraId="0000001D">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F">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0">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1">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2">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3">
      <w:pPr>
        <w:spacing w:after="240" w:before="12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4">
      <w:pPr>
        <w:spacing w:after="240" w:before="12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 </w:t>
      </w:r>
      <w:r w:rsidDel="00000000" w:rsidR="00000000" w:rsidRPr="00000000">
        <w:rPr>
          <w:rFonts w:ascii="Times New Roman" w:cs="Times New Roman" w:eastAsia="Times New Roman" w:hAnsi="Times New Roman"/>
          <w:sz w:val="24"/>
          <w:szCs w:val="24"/>
          <w:rtl w:val="0"/>
        </w:rPr>
        <w:t xml:space="preserve">data lakehouse; kappa architecture; crypto-shredding; continuous close; lgpd; finops.</w:t>
      </w:r>
    </w:p>
    <w:p w:rsidR="00000000" w:rsidDel="00000000" w:rsidP="00000000" w:rsidRDefault="00000000" w:rsidRPr="00000000" w14:paraId="00000025">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Introdução</w:t>
      </w:r>
    </w:p>
    <w:p w:rsidR="00000000" w:rsidDel="00000000" w:rsidP="00000000" w:rsidRDefault="00000000" w:rsidRPr="00000000" w14:paraId="00000026">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ecossistema contemporâneo de comércio eletrônico, a capacidade de transformar dados operacionais em inteligência acionável tornou-se pré-requisito de sobrevivência. Conforme Reis e Housley (2022), a engenharia de dados moderna constitui a disciplina que garante fluxo confiável, auditável e governado desde a origem até o consumo analítico. A TechGrowth — empresa de </w:t>
      </w:r>
      <w:r w:rsidDel="00000000" w:rsidR="00000000" w:rsidRPr="00000000">
        <w:rPr>
          <w:rFonts w:ascii="Times New Roman" w:cs="Times New Roman" w:eastAsia="Times New Roman" w:hAnsi="Times New Roman"/>
          <w:i w:val="1"/>
          <w:iCs w:val="1"/>
          <w:sz w:val="24"/>
          <w:szCs w:val="24"/>
          <w:rtl w:val="0"/>
        </w:rPr>
        <w:t xml:space="preserve">e-commerce</w:t>
      </w:r>
      <w:r w:rsidDel="00000000" w:rsidR="00000000" w:rsidRPr="00000000">
        <w:rPr>
          <w:rFonts w:ascii="Times New Roman" w:cs="Times New Roman" w:eastAsia="Times New Roman" w:hAnsi="Times New Roman"/>
          <w:sz w:val="24"/>
          <w:szCs w:val="24"/>
          <w:rtl w:val="0"/>
        </w:rPr>
        <w:t xml:space="preserve"> em hipercrescimento — enfrenta um paradoxo: enquanto operações escalam (cinquenta milhões de eventos diários, trezentos mil pedidos mensais, cinco mil SKUs, dois terabytes de imagens), sua infraestrutura permanece fragmentada em silos com definições inconsistentes e rastreabilidade inexistente.</w:t>
      </w:r>
    </w:p>
    <w:p w:rsidR="00000000" w:rsidDel="00000000" w:rsidP="00000000" w:rsidRDefault="00000000" w:rsidRPr="00000000" w14:paraId="00000027">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condição configura o </w:t>
      </w:r>
      <w:r w:rsidDel="00000000" w:rsidR="00000000" w:rsidRPr="00000000">
        <w:rPr>
          <w:rFonts w:ascii="Times New Roman" w:cs="Times New Roman" w:eastAsia="Times New Roman" w:hAnsi="Times New Roman"/>
          <w:i w:val="1"/>
          <w:iCs w:val="1"/>
          <w:sz w:val="24"/>
          <w:szCs w:val="24"/>
          <w:rtl w:val="0"/>
        </w:rPr>
        <w:t xml:space="preserve">Hollow Core</w:t>
      </w:r>
      <w:r w:rsidDel="00000000" w:rsidR="00000000" w:rsidRPr="00000000">
        <w:rPr>
          <w:rFonts w:ascii="Times New Roman" w:cs="Times New Roman" w:eastAsia="Times New Roman" w:hAnsi="Times New Roman"/>
          <w:sz w:val="24"/>
          <w:szCs w:val="24"/>
          <w:rtl w:val="0"/>
        </w:rPr>
        <w:t xml:space="preserve"> (Núcleo Oco): dissonância na qual canais digitais operam sobre núcleo de dados opaco. A liderança não responde três questões: lucratividade real por produto (incluindo logística, marketing e devoluções), mensuração auditável do funil de conversão, e previsão de demanda para otimização de estoque. Os requisitos não funcionais agravam: atualização de painéis em até cinco minutos, fechamento financeiro em ciclos de seis horas, disponibilidade de 99,0%, e conformidade com a LGPD (Lei nº 13.709/2018) — condição </w:t>
      </w:r>
      <w:r w:rsidDel="00000000" w:rsidR="00000000" w:rsidRPr="00000000">
        <w:rPr>
          <w:rFonts w:ascii="Times New Roman" w:cs="Times New Roman" w:eastAsia="Times New Roman" w:hAnsi="Times New Roman"/>
          <w:i w:val="1"/>
          <w:iCs w:val="1"/>
          <w:sz w:val="24"/>
          <w:szCs w:val="24"/>
          <w:rtl w:val="0"/>
        </w:rPr>
        <w:t xml:space="preserve">sine qua non</w:t>
      </w:r>
      <w:r w:rsidDel="00000000" w:rsidR="00000000" w:rsidRPr="00000000">
        <w:rPr>
          <w:rFonts w:ascii="Times New Roman" w:cs="Times New Roman" w:eastAsia="Times New Roman" w:hAnsi="Times New Roman"/>
          <w:sz w:val="24"/>
          <w:szCs w:val="24"/>
          <w:rtl w:val="0"/>
        </w:rPr>
        <w:t xml:space="preserve"> para operação em território brasileiro.</w:t>
      </w:r>
    </w:p>
    <w:p w:rsidR="00000000" w:rsidDel="00000000" w:rsidP="00000000" w:rsidRDefault="00000000" w:rsidRPr="00000000" w14:paraId="00000028">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Propõe-se a modernização em quatro eixos: (i) </w:t>
      </w:r>
      <w:r w:rsidDel="00000000" w:rsidR="00000000" w:rsidRPr="00000000">
        <w:rPr>
          <w:rFonts w:ascii="Times New Roman" w:cs="Times New Roman" w:eastAsia="Times New Roman" w:hAnsi="Times New Roman"/>
          <w:i w:val="1"/>
          <w:iCs w:val="1"/>
          <w:sz w:val="24"/>
          <w:szCs w:val="24"/>
          <w:rtl w:val="0"/>
        </w:rPr>
        <w:t xml:space="preserve">Data Lakehouse</w:t>
      </w:r>
      <w:r w:rsidDel="00000000" w:rsidR="00000000" w:rsidRPr="00000000">
        <w:rPr>
          <w:rFonts w:ascii="Times New Roman" w:cs="Times New Roman" w:eastAsia="Times New Roman" w:hAnsi="Times New Roman"/>
          <w:sz w:val="24"/>
          <w:szCs w:val="24"/>
          <w:rtl w:val="0"/>
        </w:rPr>
        <w:t xml:space="preserve"> com Apache Iceberg; (ii) ingestão dual Kappa + </w:t>
      </w:r>
      <w:r w:rsidDel="00000000" w:rsidR="00000000" w:rsidRPr="00000000">
        <w:rPr>
          <w:rFonts w:ascii="Times New Roman" w:cs="Times New Roman" w:eastAsia="Times New Roman" w:hAnsi="Times New Roman"/>
          <w:i w:val="1"/>
          <w:iCs w:val="1"/>
          <w:sz w:val="24"/>
          <w:szCs w:val="24"/>
          <w:rtl w:val="0"/>
        </w:rPr>
        <w:t xml:space="preserve">Continuous Close</w:t>
      </w:r>
      <w:r w:rsidDel="00000000" w:rsidR="00000000" w:rsidRPr="00000000">
        <w:rPr>
          <w:rFonts w:ascii="Times New Roman" w:cs="Times New Roman" w:eastAsia="Times New Roman" w:hAnsi="Times New Roman"/>
          <w:sz w:val="24"/>
          <w:szCs w:val="24"/>
          <w:rtl w:val="0"/>
        </w:rPr>
        <w:t xml:space="preserve">; (iii) governança via contratos de dados e </w:t>
      </w:r>
      <w:r w:rsidDel="00000000" w:rsidR="00000000" w:rsidRPr="00000000">
        <w:rPr>
          <w:rFonts w:ascii="Times New Roman" w:cs="Times New Roman" w:eastAsia="Times New Roman" w:hAnsi="Times New Roman"/>
          <w:i w:val="1"/>
          <w:iCs w:val="1"/>
          <w:sz w:val="24"/>
          <w:szCs w:val="24"/>
          <w:rtl w:val="0"/>
        </w:rPr>
        <w:t xml:space="preserve">crypto-shredding</w:t>
      </w:r>
      <w:r w:rsidDel="00000000" w:rsidR="00000000" w:rsidRPr="00000000">
        <w:rPr>
          <w:rFonts w:ascii="Times New Roman" w:cs="Times New Roman" w:eastAsia="Times New Roman" w:hAnsi="Times New Roman"/>
          <w:sz w:val="24"/>
          <w:szCs w:val="24"/>
          <w:rtl w:val="0"/>
        </w:rPr>
        <w:t xml:space="preserve"> AES-128-GCM; e (iv) validação experimental via Simulação de Eventos Discretos (Flores, 2026), com 100% de conformidade sob 5.800 eps. A análise fundamenta-se no teorema PACELC (Abadi, 2012), que formaliza compromissos entre consistência, latência e disponibilidade.</w:t>
      </w:r>
    </w:p>
    <w:p w:rsidR="00000000" w:rsidDel="00000000" w:rsidP="00000000" w:rsidRDefault="00000000" w:rsidRPr="00000000" w14:paraId="00000029">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A">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Desenvolvimento</w:t>
      </w:r>
    </w:p>
    <w:p w:rsidR="00000000" w:rsidDel="00000000" w:rsidP="00000000" w:rsidRDefault="00000000" w:rsidRPr="00000000" w14:paraId="0000002B">
      <w:pPr>
        <w:pStyle w:val="Heading2"/>
        <w:keepNext w:val="0"/>
        <w:keepLines w:val="0"/>
        <w:spacing w:after="100" w:before="20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Artigos Selecionados</w:t>
      </w:r>
    </w:p>
    <w:p w:rsidR="00000000" w:rsidDel="00000000" w:rsidP="00000000" w:rsidRDefault="00000000" w:rsidRPr="00000000" w14:paraId="0000002C">
      <w:pPr>
        <w:spacing w:line="480" w:lineRule="auto"/>
        <w:rPr/>
      </w:pPr>
      <w:r w:rsidDel="00000000" w:rsidR="00000000" w:rsidRPr="00000000">
        <w:rPr>
          <w:rFonts w:ascii="Times New Roman" w:cs="Times New Roman" w:eastAsia="Times New Roman" w:hAnsi="Times New Roman"/>
          <w:sz w:val="24"/>
          <w:szCs w:val="24"/>
          <w:rtl w:val="0"/>
        </w:rPr>
        <w:t xml:space="preserve">A fundamentação estrutura-se em quatro pilares contemporâneos. Pilar 1 — Lakehouse: Armbrust et al. (2021) propõem o paradigma que unifica transações ACID do Data Warehouse com flexibilidade do Data Lake; Jain et al. (2023) comparam empiricamente Delta Lake, Iceberg e Hudi; e Okolnychyi et al. (2024) demonstram operações row-level em escala de petabytes. Pilar 2 — Fluxos: Wang et al. (2021) detalham a semântica exactly-once no Kafka, tornando-a adequada à Arquitetura Kappa. Pilar 3 — Governança e segurança: Rose et al. (2020) formalizam Zero Trust, enquanto Chandramouli e Hibbard (2025) atualizam o referencial NIST para sanitização e cryptographic erase. Pilar 4 — Organização: Dehghani (2022) introduz o Data Mesh, ancorado na Lei de Conway (1968), cuja validade empírica foi discutida por MacCormack, Baldwin, e Rusnak (2012).</w:t>
      </w:r>
      <w:r w:rsidDel="00000000" w:rsidR="00000000" w:rsidRPr="00000000">
        <w:rPr>
          <w:rtl w:val="0"/>
        </w:rPr>
      </w:r>
    </w:p>
    <w:p w:rsidR="00000000" w:rsidDel="00000000" w:rsidP="00000000" w:rsidRDefault="00000000" w:rsidRPr="00000000" w14:paraId="0000002D">
      <w:pPr>
        <w:pStyle w:val="Heading2"/>
        <w:keepNext w:val="0"/>
        <w:keepLines w:val="0"/>
        <w:spacing w:after="100" w:before="20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Análise Técnica e Arquitetural</w:t>
      </w:r>
    </w:p>
    <w:p w:rsidR="00000000" w:rsidDel="00000000" w:rsidP="00000000" w:rsidRDefault="00000000" w:rsidRPr="00000000" w14:paraId="0000002E">
      <w:pPr>
        <w:spacing w:after="80" w:before="16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2.2.1. Arquitetura-Alvo: Data Lakehouse</w:t>
      </w:r>
      <w:r w:rsidDel="00000000" w:rsidR="00000000" w:rsidRPr="00000000">
        <w:rPr>
          <w:rtl w:val="0"/>
        </w:rPr>
      </w:r>
    </w:p>
    <w:p w:rsidR="00000000" w:rsidDel="00000000" w:rsidP="00000000" w:rsidRDefault="00000000" w:rsidRPr="00000000" w14:paraId="0000002F">
      <w:pPr>
        <w:spacing w:line="480" w:lineRule="auto"/>
        <w:rPr/>
      </w:pPr>
      <w:r w:rsidDel="00000000" w:rsidR="00000000" w:rsidRPr="00000000">
        <w:rPr>
          <w:rFonts w:ascii="Times New Roman" w:cs="Times New Roman" w:eastAsia="Times New Roman" w:hAnsi="Times New Roman"/>
          <w:sz w:val="24"/>
          <w:szCs w:val="24"/>
          <w:rtl w:val="0"/>
        </w:rPr>
        <w:t xml:space="preserve">O Data Warehouse impõe esquema na escrita, incompatível com 2TB+ de imagens e evolução de JSON. O Data Lake carece de ACID e consulta a versões anteriores. O Lakehouse (Armbrust et al., 2021) sobrepõe metadados transacionais (Iceberg) sobre armazenamento de objetos. Iceberg demonstra superioridade em evolução de esquema sem reescrita, particionamento oculto que abstrai a organização física e filtragem estatística capaz de eliminar parcela substancial de leituras desnecessárias (Jain et al., 2023). Okolnychyi et al. (2024) validam operações em nível de linha em escala de petabytes.</w:t>
      </w:r>
      <w:r w:rsidDel="00000000" w:rsidR="00000000" w:rsidRPr="00000000">
        <w:rPr>
          <w:rtl w:val="0"/>
        </w:rPr>
      </w:r>
    </w:p>
    <w:p w:rsidR="00000000" w:rsidDel="00000000" w:rsidP="00000000" w:rsidRDefault="00000000" w:rsidRPr="00000000" w14:paraId="00000030">
      <w:pPr>
        <w:spacing w:after="80" w:before="16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2.2.2. Ingestão Dual: Kappa e Continuous Close</w:t>
      </w:r>
      <w:r w:rsidDel="00000000" w:rsidR="00000000" w:rsidRPr="00000000">
        <w:rPr>
          <w:rtl w:val="0"/>
        </w:rPr>
      </w:r>
    </w:p>
    <w:p w:rsidR="00000000" w:rsidDel="00000000" w:rsidP="00000000" w:rsidRDefault="00000000" w:rsidRPr="00000000" w14:paraId="00000031">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Abordagem ELT com dois caminhos. O </w:t>
      </w:r>
      <w:r w:rsidDel="00000000" w:rsidR="00000000" w:rsidRPr="00000000">
        <w:rPr>
          <w:rFonts w:ascii="Times New Roman" w:cs="Times New Roman" w:eastAsia="Times New Roman" w:hAnsi="Times New Roman"/>
          <w:i w:val="1"/>
          <w:iCs w:val="1"/>
          <w:sz w:val="24"/>
          <w:szCs w:val="24"/>
          <w:rtl w:val="0"/>
        </w:rPr>
        <w:t xml:space="preserve">streaming</w:t>
      </w:r>
      <w:r w:rsidDel="00000000" w:rsidR="00000000" w:rsidRPr="00000000">
        <w:rPr>
          <w:rFonts w:ascii="Times New Roman" w:cs="Times New Roman" w:eastAsia="Times New Roman" w:hAnsi="Times New Roman"/>
          <w:sz w:val="24"/>
          <w:szCs w:val="24"/>
          <w:rtl w:val="0"/>
        </w:rPr>
        <w:t xml:space="preserve"> implementa Arquitetura Kappa (Kreps, 2014): eventos (~578 eps, picos ~2.900) publicados em Kafka com produtores idempotentes (Wang et al., 2021). Flink consome com garantia de processamento exatamente uma vez via pontos de verificação periódicos, gravando na camada Bronze em Parquet com Zstd (Collet, &amp; Kucherawy, 2021), que comprime ~35% melhor que Snappy.</w:t>
      </w:r>
    </w:p>
    <w:p w:rsidR="00000000" w:rsidDel="00000000" w:rsidP="00000000" w:rsidRDefault="00000000" w:rsidRPr="00000000" w14:paraId="00000032">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caminho financeiro substitui D+1 por </w:t>
      </w:r>
      <w:r w:rsidDel="00000000" w:rsidR="00000000" w:rsidRPr="00000000">
        <w:rPr>
          <w:rFonts w:ascii="Times New Roman" w:cs="Times New Roman" w:eastAsia="Times New Roman" w:hAnsi="Times New Roman"/>
          <w:i w:val="1"/>
          <w:iCs w:val="1"/>
          <w:sz w:val="24"/>
          <w:szCs w:val="24"/>
          <w:rtl w:val="0"/>
        </w:rPr>
        <w:t xml:space="preserve">Continuous Close</w:t>
      </w:r>
      <w:r w:rsidDel="00000000" w:rsidR="00000000" w:rsidRPr="00000000">
        <w:rPr>
          <w:rFonts w:ascii="Times New Roman" w:cs="Times New Roman" w:eastAsia="Times New Roman" w:hAnsi="Times New Roman"/>
          <w:sz w:val="24"/>
          <w:szCs w:val="24"/>
          <w:rtl w:val="0"/>
        </w:rPr>
        <w:t xml:space="preserve"> intra-diário: quatro ciclos de seis horas via CDC. A janela evita o acúmulo de arquivos pequenos (ciclos menores degradariam leitura) e respeita liquidação de </w:t>
      </w:r>
      <w:r w:rsidDel="00000000" w:rsidR="00000000" w:rsidRPr="00000000">
        <w:rPr>
          <w:rFonts w:ascii="Times New Roman" w:cs="Times New Roman" w:eastAsia="Times New Roman" w:hAnsi="Times New Roman"/>
          <w:i w:val="1"/>
          <w:iCs w:val="1"/>
          <w:sz w:val="24"/>
          <w:szCs w:val="24"/>
          <w:rtl w:val="0"/>
        </w:rPr>
        <w:t xml:space="preserve">gateways</w:t>
      </w:r>
      <w:r w:rsidDel="00000000" w:rsidR="00000000" w:rsidRPr="00000000">
        <w:rPr>
          <w:rFonts w:ascii="Times New Roman" w:cs="Times New Roman" w:eastAsia="Times New Roman" w:hAnsi="Times New Roman"/>
          <w:sz w:val="24"/>
          <w:szCs w:val="24"/>
          <w:rtl w:val="0"/>
        </w:rPr>
        <w:t xml:space="preserve"> (4-8h). A TechGrowth migra de D+1 para D+0,25 (redução de 75%). Idempotência em três camadas: produtor Kafka, confirmação em duas fases do Flink, e deduplicação natural do Iceberg na leitura.</w:t>
      </w:r>
    </w:p>
    <w:p w:rsidR="00000000" w:rsidDel="00000000" w:rsidP="00000000" w:rsidRDefault="00000000" w:rsidRPr="00000000" w14:paraId="00000033">
      <w:pPr>
        <w:spacing w:after="80" w:before="16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2.2.3. Medallion, Catálogo e Contratos de Dados</w:t>
      </w:r>
      <w:r w:rsidDel="00000000" w:rsidR="00000000" w:rsidRPr="00000000">
        <w:rPr>
          <w:rtl w:val="0"/>
        </w:rPr>
      </w:r>
    </w:p>
    <w:p w:rsidR="00000000" w:rsidDel="00000000" w:rsidP="00000000" w:rsidRDefault="00000000" w:rsidRPr="00000000" w14:paraId="00000034">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Bronze armazena dados brutos para auditoria. Silver aplica limpeza: datas ISO 8601, moeda BRL em centavos inteiros, </w:t>
      </w:r>
      <w:r w:rsidDel="00000000" w:rsidR="00000000" w:rsidRPr="00000000">
        <w:rPr>
          <w:rFonts w:ascii="Times New Roman" w:cs="Times New Roman" w:eastAsia="Times New Roman" w:hAnsi="Times New Roman"/>
          <w:i w:val="1"/>
          <w:iCs w:val="1"/>
          <w:sz w:val="24"/>
          <w:szCs w:val="24"/>
          <w:rtl w:val="0"/>
        </w:rPr>
        <w:t xml:space="preserve">outliers</w:t>
      </w:r>
      <w:r w:rsidDel="00000000" w:rsidR="00000000" w:rsidRPr="00000000">
        <w:rPr>
          <w:rFonts w:ascii="Times New Roman" w:cs="Times New Roman" w:eastAsia="Times New Roman" w:hAnsi="Times New Roman"/>
          <w:sz w:val="24"/>
          <w:szCs w:val="24"/>
          <w:rtl w:val="0"/>
        </w:rPr>
        <w:t xml:space="preserve"> via Z-score (|Z|&gt;3 vão para quarentena sem descarte), nulos com valores reservados documentados. Gold contém agregações de negócio. Contratos de dados (esquemas Protobuf versionados) validados na compilação e em tempo de execução; violações vão para filas de erros. Catálogo Apache DataHub habilita descoberta e linhagem ponta a ponta.</w:t>
      </w:r>
    </w:p>
    <w:p w:rsidR="00000000" w:rsidDel="00000000" w:rsidP="00000000" w:rsidRDefault="00000000" w:rsidRPr="00000000" w14:paraId="00000035">
      <w:pPr>
        <w:spacing w:after="80" w:before="16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2.2.4. Qualidade: Cinco Regras Verificáveis</w:t>
      </w:r>
      <w:r w:rsidDel="00000000" w:rsidR="00000000" w:rsidRPr="00000000">
        <w:rPr>
          <w:rtl w:val="0"/>
        </w:rPr>
      </w:r>
    </w:p>
    <w:p w:rsidR="00000000" w:rsidDel="00000000" w:rsidP="00000000" w:rsidRDefault="00000000" w:rsidRPr="00000000" w14:paraId="00000036">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padrão de disjuntores (Uttamchandani, 2018) aplica o conceito de disjuntor elétrico: quando uma métrica viola seu limiar, o circuito abre e impede propagação de dados corrompidos. A Tabela 1 apresenta as cinco regras.</w:t>
      </w:r>
    </w:p>
    <w:p w:rsidR="00000000" w:rsidDel="00000000" w:rsidP="00000000" w:rsidRDefault="00000000" w:rsidRPr="00000000" w14:paraId="00000037">
      <w:pPr>
        <w:spacing w:after="200" w:before="6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Tabela 1 — Regras de Qualidade Verificáveis com Disjuntores Automatizados.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200"/>
        <w:gridCol w:w="1200"/>
        <w:gridCol w:w="2160"/>
        <w:gridCol w:w="2600"/>
        <w:tblGridChange w:id="0">
          <w:tblGrid>
            <w:gridCol w:w="1200"/>
            <w:gridCol w:w="2200"/>
            <w:gridCol w:w="1200"/>
            <w:gridCol w:w="2160"/>
            <w:gridCol w:w="26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2c3e50" w:val="clear"/>
            <w:tcMar>
              <w:top w:w="60.0" w:type="dxa"/>
              <w:left w:w="100.0" w:type="dxa"/>
              <w:bottom w:w="60.0" w:type="dxa"/>
              <w:right w:w="100.0" w:type="dxa"/>
            </w:tcMar>
          </w:tcPr>
          <w:p w:rsidR="00000000" w:rsidDel="00000000" w:rsidP="00000000" w:rsidRDefault="00000000" w:rsidRPr="00000000" w14:paraId="0000003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0"/>
                <w:szCs w:val="20"/>
                <w:rtl w:val="0"/>
              </w:rPr>
              <w:t xml:space="preserve">Regra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c3e50" w:val="clear"/>
            <w:tcMar>
              <w:top w:w="60.0" w:type="dxa"/>
              <w:left w:w="100.0" w:type="dxa"/>
              <w:bottom w:w="60.0" w:type="dxa"/>
              <w:right w:w="100.0" w:type="dxa"/>
            </w:tcMar>
          </w:tcPr>
          <w:p w:rsidR="00000000" w:rsidDel="00000000" w:rsidP="00000000" w:rsidRDefault="00000000" w:rsidRPr="00000000" w14:paraId="0000003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0"/>
                <w:szCs w:val="20"/>
                <w:rtl w:val="0"/>
              </w:rPr>
              <w:t xml:space="preserve">Métrica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c3e50" w:val="clear"/>
            <w:tcMar>
              <w:top w:w="60.0" w:type="dxa"/>
              <w:left w:w="100.0" w:type="dxa"/>
              <w:bottom w:w="60.0" w:type="dxa"/>
              <w:right w:w="100.0" w:type="dxa"/>
            </w:tcMar>
          </w:tcPr>
          <w:p w:rsidR="00000000" w:rsidDel="00000000" w:rsidP="00000000" w:rsidRDefault="00000000" w:rsidRPr="00000000" w14:paraId="0000003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0"/>
                <w:szCs w:val="20"/>
                <w:rtl w:val="0"/>
              </w:rPr>
              <w:t xml:space="preserve">Limiar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c3e50" w:val="clear"/>
            <w:tcMar>
              <w:top w:w="60.0" w:type="dxa"/>
              <w:left w:w="100.0" w:type="dxa"/>
              <w:bottom w:w="60.0" w:type="dxa"/>
              <w:right w:w="100.0" w:type="dxa"/>
            </w:tcMar>
          </w:tcPr>
          <w:p w:rsidR="00000000" w:rsidDel="00000000" w:rsidP="00000000" w:rsidRDefault="00000000" w:rsidRPr="00000000" w14:paraId="0000003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0"/>
                <w:szCs w:val="20"/>
                <w:rtl w:val="0"/>
              </w:rPr>
              <w:t xml:space="preserve">Monitoramento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c3e50" w:val="clear"/>
            <w:tcMar>
              <w:top w:w="60.0" w:type="dxa"/>
              <w:left w:w="100.0" w:type="dxa"/>
              <w:bottom w:w="60.0" w:type="dxa"/>
              <w:right w:w="100.0" w:type="dxa"/>
            </w:tcMar>
          </w:tcPr>
          <w:p w:rsidR="00000000" w:rsidDel="00000000" w:rsidP="00000000" w:rsidRDefault="00000000" w:rsidRPr="00000000" w14:paraId="0000003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0"/>
                <w:szCs w:val="20"/>
                <w:rtl w:val="0"/>
              </w:rPr>
              <w:t xml:space="preserve">Circuit Breaker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R1 Completude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 de order_id, customer_id, total_amount não-nulos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3F">
            <w:pPr>
              <w:spacing w:line="480" w:lineRule="auto"/>
              <w:jc w:val="center"/>
              <w:rPr>
                <w:rFonts w:ascii="Times New Roman" w:cs="Times New Roman" w:eastAsia="Times New Roman" w:hAnsi="Times New Roman"/>
                <w:sz w:val="24"/>
                <w:szCs w:val="24"/>
              </w:rPr>
            </w:pPr>
            <w:r w:rsidDel="00000000" w:rsidR="00000000" w:rsidRPr="00000000">
              <w:rPr>
                <w:rFonts w:ascii="Gungsuh" w:cs="Gungsuh" w:eastAsia="Gungsuh" w:hAnsi="Gungsuh"/>
                <w:sz w:val="20"/>
                <w:szCs w:val="20"/>
                <w:rtl w:val="0"/>
              </w:rPr>
              <w:t xml:space="preserve">≥ 99,5%</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Great Expectations por micro-batch</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1">
            <w:pPr>
              <w:spacing w:line="480" w:lineRule="auto"/>
              <w:rPr>
                <w:rFonts w:ascii="Times New Roman" w:cs="Times New Roman" w:eastAsia="Times New Roman" w:hAnsi="Times New Roman"/>
                <w:sz w:val="24"/>
                <w:szCs w:val="24"/>
              </w:rPr>
            </w:pPr>
            <w:r w:rsidDel="00000000" w:rsidR="00000000" w:rsidRPr="00000000">
              <w:rPr>
                <w:rFonts w:ascii="Cardo" w:cs="Cardo" w:eastAsia="Cardo" w:hAnsi="Cardo"/>
                <w:sz w:val="20"/>
                <w:szCs w:val="20"/>
                <w:rtl w:val="0"/>
              </w:rPr>
              <w:t xml:space="preserve">Bloqueio promoção Bronze→Silver</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R2 Unicidade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order_id duplicados por partição diária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Constraint Iceberg pós-ingestão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Reprocessamento com deduplicação</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R3 Integridade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 session_id em conversões presentes na tabela de sessões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9">
            <w:pPr>
              <w:spacing w:line="480" w:lineRule="auto"/>
              <w:jc w:val="center"/>
              <w:rPr>
                <w:rFonts w:ascii="Times New Roman" w:cs="Times New Roman" w:eastAsia="Times New Roman" w:hAnsi="Times New Roman"/>
                <w:sz w:val="24"/>
                <w:szCs w:val="24"/>
              </w:rPr>
            </w:pPr>
            <w:r w:rsidDel="00000000" w:rsidR="00000000" w:rsidRPr="00000000">
              <w:rPr>
                <w:rFonts w:ascii="Gungsuh" w:cs="Gungsuh" w:eastAsia="Gungsuh" w:hAnsi="Gungsuh"/>
                <w:sz w:val="20"/>
                <w:szCs w:val="20"/>
                <w:rtl w:val="0"/>
              </w:rPr>
              <w:t xml:space="preserve">≥ 99,0%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r w:rsidDel="00000000" w:rsidR="00000000" w:rsidRPr="00000000">
              <w:rPr>
                <w:rFonts w:ascii="Cardo" w:cs="Cardo" w:eastAsia="Cardo" w:hAnsi="Cardo"/>
                <w:sz w:val="20"/>
                <w:szCs w:val="20"/>
                <w:rtl w:val="0"/>
              </w:rPr>
              <w:t xml:space="preserve">Validação cross-table Silver→Gold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Alerta P1 + quarentena do lote</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R4 Freshness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now() - max(event_timestamp) por tópico</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E">
            <w:pPr>
              <w:spacing w:line="480" w:lineRule="auto"/>
              <w:jc w:val="center"/>
              <w:rPr>
                <w:rFonts w:ascii="Times New Roman" w:cs="Times New Roman" w:eastAsia="Times New Roman" w:hAnsi="Times New Roman"/>
                <w:sz w:val="24"/>
                <w:szCs w:val="24"/>
              </w:rPr>
            </w:pPr>
            <w:r w:rsidDel="00000000" w:rsidR="00000000" w:rsidRPr="00000000">
              <w:rPr>
                <w:rFonts w:ascii="Gungsuh" w:cs="Gungsuh" w:eastAsia="Gungsuh" w:hAnsi="Gungsuh"/>
                <w:sz w:val="20"/>
                <w:szCs w:val="20"/>
                <w:rtl w:val="0"/>
              </w:rPr>
              <w:t xml:space="preserve">≤ 5min / 6h</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4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 em Prometheus/Grafana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Auto-scaling consumers Flink</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R5 Schema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 eventos validados pelo Data Contract</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100%</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Compile-time + runtime via registry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Mar>
              <w:top w:w="60.0" w:type="dxa"/>
              <w:left w:w="100.0" w:type="dxa"/>
              <w:bottom w:w="60.0" w:type="dxa"/>
              <w:right w:w="100.0" w:type="dxa"/>
            </w:tcMar>
          </w:tcPr>
          <w:p w:rsidR="00000000" w:rsidDel="00000000" w:rsidP="00000000" w:rsidRDefault="00000000" w:rsidRPr="00000000" w14:paraId="0000005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Rejeição para dead-letter queue</w:t>
            </w:r>
            <w:r w:rsidDel="00000000" w:rsidR="00000000" w:rsidRPr="00000000">
              <w:rPr>
                <w:rtl w:val="0"/>
              </w:rPr>
            </w:r>
          </w:p>
        </w:tc>
      </w:tr>
    </w:tbl>
    <w:p w:rsidR="00000000" w:rsidDel="00000000" w:rsidP="00000000" w:rsidRDefault="00000000" w:rsidRPr="00000000" w14:paraId="0000005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80" w:before="16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2.2.5. Governança, LGPD e Crypto-Shredding</w:t>
      </w:r>
      <w:r w:rsidDel="00000000" w:rsidR="00000000" w:rsidRPr="00000000">
        <w:rPr>
          <w:rtl w:val="0"/>
        </w:rPr>
      </w:r>
    </w:p>
    <w:p w:rsidR="00000000" w:rsidDel="00000000" w:rsidP="00000000" w:rsidRDefault="00000000" w:rsidRPr="00000000" w14:paraId="00000058">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Arquitetura </w:t>
      </w:r>
      <w:r w:rsidDel="00000000" w:rsidR="00000000" w:rsidRPr="00000000">
        <w:rPr>
          <w:rFonts w:ascii="Times New Roman" w:cs="Times New Roman" w:eastAsia="Times New Roman" w:hAnsi="Times New Roman"/>
          <w:i w:val="1"/>
          <w:iCs w:val="1"/>
          <w:sz w:val="24"/>
          <w:szCs w:val="24"/>
          <w:rtl w:val="0"/>
        </w:rPr>
        <w:t xml:space="preserve">Zero Trust</w:t>
      </w:r>
      <w:r w:rsidDel="00000000" w:rsidR="00000000" w:rsidRPr="00000000">
        <w:rPr>
          <w:rFonts w:ascii="Times New Roman" w:cs="Times New Roman" w:eastAsia="Times New Roman" w:hAnsi="Times New Roman"/>
          <w:sz w:val="24"/>
          <w:szCs w:val="24"/>
          <w:rtl w:val="0"/>
        </w:rPr>
        <w:t xml:space="preserve"> (NIST SP 800-207, Rose et al., 2020): toda requisição exige autenticação granular. RBAC por perfil: Analista BI acessa Gold mascarado, Cientista acessa Silver pseudonimizado, Engenheiro acessa tudo com auditoria. ABAC por classificação de sensibilidade. Controles DLP contra exfiltração.</w:t>
      </w:r>
    </w:p>
    <w:p w:rsidR="00000000" w:rsidDel="00000000" w:rsidP="00000000" w:rsidRDefault="00000000" w:rsidRPr="00000000" w14:paraId="00000059">
      <w:pPr>
        <w:spacing w:line="480" w:lineRule="auto"/>
        <w:rPr/>
      </w:pPr>
      <w:r w:rsidDel="00000000" w:rsidR="00000000" w:rsidRPr="00000000">
        <w:rPr>
          <w:rFonts w:ascii="Times New Roman" w:cs="Times New Roman" w:eastAsia="Times New Roman" w:hAnsi="Times New Roman"/>
          <w:sz w:val="24"/>
          <w:szCs w:val="24"/>
          <w:rtl w:val="0"/>
        </w:rPr>
        <w:t xml:space="preserve">Criptografia AES-128-GCM em envelope: cada campo sensível é cifrado com uma chave de dados (DEK) por cliente, protegida por chave-mestra em KMS. Em ambientes com aceleração AES-NI, AES-128-GCM tende a impor menor custo computacional do que alternativas mais pesadas; por isso, foi adotado como compromisso entre segurança e desempenho. A destruição criptográfica elimina a DEK no KMS, tornando os dados irrecuperáveis e compatíveis com o princípio de eliminação lógica previsto no NIST SP 800-88 Rev. 2 (Chandramouli &amp; Hibbard, 2025). mTLS protege o trânsito. Retenção: cinco anos para dados financeiros, dois anos para navegação, com expurgo automatizado.</w:t>
      </w:r>
      <w:r w:rsidDel="00000000" w:rsidR="00000000" w:rsidRPr="00000000">
        <w:rPr>
          <w:rtl w:val="0"/>
        </w:rPr>
      </w:r>
    </w:p>
    <w:p w:rsidR="00000000" w:rsidDel="00000000" w:rsidP="00000000" w:rsidRDefault="00000000" w:rsidRPr="00000000" w14:paraId="0000005A">
      <w:pPr>
        <w:spacing w:after="80" w:before="16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2.2.6. Custo, Operação e Riscos</w:t>
      </w:r>
      <w:r w:rsidDel="00000000" w:rsidR="00000000" w:rsidRPr="00000000">
        <w:rPr>
          <w:rtl w:val="0"/>
        </w:rPr>
      </w:r>
    </w:p>
    <w:p w:rsidR="00000000" w:rsidDel="00000000" w:rsidP="00000000" w:rsidRDefault="00000000" w:rsidRPr="00000000" w14:paraId="0000005B">
      <w:pPr>
        <w:spacing w:line="480" w:lineRule="auto"/>
        <w:rPr/>
      </w:pPr>
      <w:r w:rsidDel="00000000" w:rsidR="00000000" w:rsidRPr="00000000">
        <w:rPr>
          <w:rFonts w:ascii="Times New Roman" w:cs="Times New Roman" w:eastAsia="Times New Roman" w:hAnsi="Times New Roman"/>
          <w:sz w:val="24"/>
          <w:szCs w:val="24"/>
          <w:rtl w:val="0"/>
        </w:rPr>
        <w:t xml:space="preserve">Custo classificado como médio e complexidade operacional classificada como alta: Kafka gerenciado (~40%), Flink (~30%), armazenamento (~15%, reduzido por compressão Zstd) e componentes complementares (~15%). Em comparação com plataformas proprietárias totalmente gerenciadas, projeta-se custo inferior porque a separação entre armazenamento e computação permite escalar cada camada independentemente (FinOps Foundation, 2025). Orquestração via DAGs Airflow com retentativas idempotentes. Reprocessamento via versões anteriores do Iceberg (sete dias). Ambientes dev/staging/prod via Terraform, com dados não produtivos mascarados. SLO analítico mensal: 99,0% de disponibilidade, equivalente a error budget de aproximadamente 0,72 hora por mês. SLIs primários: atraso de ingestão, taxa de sucesso por job, tempo até recuperação e volume de eventos em dead-letter queue. Observabilidade: métricas Prometheus, registros com rastreamento distribuído, alertas com escalação e detecção de anomalias por Z-score.</w:t>
      </w:r>
      <w:r w:rsidDel="00000000" w:rsidR="00000000" w:rsidRPr="00000000">
        <w:rPr>
          <w:rtl w:val="0"/>
        </w:rPr>
      </w:r>
    </w:p>
    <w:p w:rsidR="00000000" w:rsidDel="00000000" w:rsidP="00000000" w:rsidRDefault="00000000" w:rsidRPr="00000000" w14:paraId="0000005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Riscos: (i) dependência de fornecedor — formatos abertos (Iceberg, Parquet, Avro); (ii) vazamento PII — DLP + mascaramento + </w:t>
      </w:r>
      <w:r w:rsidDel="00000000" w:rsidR="00000000" w:rsidRPr="00000000">
        <w:rPr>
          <w:rFonts w:ascii="Times New Roman" w:cs="Times New Roman" w:eastAsia="Times New Roman" w:hAnsi="Times New Roman"/>
          <w:i w:val="1"/>
          <w:iCs w:val="1"/>
          <w:sz w:val="24"/>
          <w:szCs w:val="24"/>
          <w:rtl w:val="0"/>
        </w:rPr>
        <w:t xml:space="preserve">crypto-shredding</w:t>
      </w:r>
      <w:r w:rsidDel="00000000" w:rsidR="00000000" w:rsidRPr="00000000">
        <w:rPr>
          <w:rFonts w:ascii="Times New Roman" w:cs="Times New Roman" w:eastAsia="Times New Roman" w:hAnsi="Times New Roman"/>
          <w:sz w:val="24"/>
          <w:szCs w:val="24"/>
          <w:rtl w:val="0"/>
        </w:rPr>
        <w:t xml:space="preserve">; (iii) falha de </w:t>
      </w:r>
      <w:r w:rsidDel="00000000" w:rsidR="00000000" w:rsidRPr="00000000">
        <w:rPr>
          <w:rFonts w:ascii="Times New Roman" w:cs="Times New Roman" w:eastAsia="Times New Roman" w:hAnsi="Times New Roman"/>
          <w:i w:val="1"/>
          <w:iCs w:val="1"/>
          <w:sz w:val="24"/>
          <w:szCs w:val="24"/>
          <w:rtl w:val="0"/>
        </w:rPr>
        <w:t xml:space="preserve">pipeline</w:t>
      </w:r>
      <w:r w:rsidDel="00000000" w:rsidR="00000000" w:rsidRPr="00000000">
        <w:rPr>
          <w:rFonts w:ascii="Times New Roman" w:cs="Times New Roman" w:eastAsia="Times New Roman" w:hAnsi="Times New Roman"/>
          <w:sz w:val="24"/>
          <w:szCs w:val="24"/>
          <w:rtl w:val="0"/>
        </w:rPr>
        <w:t xml:space="preserve"> — arquitetura celular com distribuição aleatória de dependências (MacCárthaigh, 2019): com 50 células e dependência de 2 por domínio, existem 1.225 combinações, reduzindo a probabilidade de impacto compartilhado a &lt;0,08% (AWS, 2024); (iv) inconsistência entre camadas — contratos de dados com disjuntores.</w:t>
      </w:r>
    </w:p>
    <w:p w:rsidR="00000000" w:rsidDel="00000000" w:rsidP="00000000" w:rsidRDefault="00000000" w:rsidRPr="00000000" w14:paraId="0000005D">
      <w:pPr>
        <w:pStyle w:val="Heading2"/>
        <w:keepNext w:val="0"/>
        <w:keepLines w:val="0"/>
        <w:spacing w:after="100" w:before="20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Discussão</w:t>
      </w:r>
    </w:p>
    <w:p w:rsidR="00000000" w:rsidDel="00000000" w:rsidP="00000000" w:rsidRDefault="00000000" w:rsidRPr="00000000" w14:paraId="0000005E">
      <w:pPr>
        <w:spacing w:line="480" w:lineRule="auto"/>
        <w:rPr/>
      </w:pPr>
      <w:r w:rsidDel="00000000" w:rsidR="00000000" w:rsidRPr="00000000">
        <w:rPr>
          <w:rFonts w:ascii="Times New Roman" w:cs="Times New Roman" w:eastAsia="Times New Roman" w:hAnsi="Times New Roman"/>
          <w:sz w:val="24"/>
          <w:szCs w:val="24"/>
          <w:rtl w:val="0"/>
        </w:rPr>
        <w:t xml:space="preserve">O teorema PACELC (Abadi, 2012) formaliza os compromissos: durante partições, escolhe-se disponibilidade ou consistência; caso contrário, latência ou consistência. Um Data Warehouse proprietário não foi escolhido porque acopla armazenamento e computação, amplia lock-in e reduz flexibilidade para imagens e JSON semiestruturado. A Arquitetura Kappa foi preferida à Lambda porque evita duplicidade de lógica entre batch e streaming, reduz superfícies de falha e simplifica a reconciliação operacional. No streaming (PA/EL), painéis podem exibir defasagem de segundos durante partições. No Continuous Close (PC/EC), prioriza-se consistência forte para números financeiros. O merge-on-read do Iceberg transfere custo para leitura; mitiga-se via compactação periódica e reordenação física por colunas filtradas, reduzindo penalidade operacional para níveis aceitáveis.</w:t>
      </w:r>
      <w:r w:rsidDel="00000000" w:rsidR="00000000" w:rsidRPr="00000000">
        <w:rPr>
          <w:rtl w:val="0"/>
        </w:rPr>
      </w:r>
    </w:p>
    <w:p w:rsidR="00000000" w:rsidDel="00000000" w:rsidP="00000000" w:rsidRDefault="00000000" w:rsidRPr="00000000" w14:paraId="0000005F">
      <w:pPr>
        <w:spacing w:line="480" w:lineRule="auto"/>
        <w:ind w:firstLine="720"/>
        <w:jc w:val="both"/>
        <w:rPr>
          <w:rFonts w:ascii="Times New Roman" w:cs="Times New Roman" w:eastAsia="Times New Roman" w:hAnsi="Times New Roman"/>
          <w:b w:val="1"/>
          <w:bCs w:val="1"/>
          <w:sz w:val="28"/>
          <w:szCs w:val="28"/>
        </w:rPr>
      </w:pPr>
      <w:r w:rsidDel="00000000" w:rsidR="00000000" w:rsidRPr="00000000">
        <w:rPr>
          <w:rFonts w:ascii="Gungsuh" w:cs="Gungsuh" w:eastAsia="Gungsuh" w:hAnsi="Gungsuh"/>
          <w:sz w:val="24"/>
          <w:szCs w:val="24"/>
          <w:rtl w:val="0"/>
        </w:rPr>
        <w:t xml:space="preserve">A Simulação de Eventos Discretos (Flores, 2026) forneceu evidência empírica: 191.317 eventos processados com 100% de conformidade SLA sob estresse de 5.800 eps, com duas partições de rede injetadas que elevaram o P99 da célula afetada em 16% (3.206 ms vs. 2.764 ms geral), porém mantiveram conformidade total. O isolamento celular limitou o impacto a 58 eventos (0,03%). A Lei de Little (1961) foi verificada: L ≈ 7.058 eventos simultâneos, sustentados por 140 consumidores. O detalhamento metodológico complementar, os artefatos experimentais e os gráficos de validação encontram-se disponibilizados como material suplementar reprodutível (Flores, 2026).</w:t>
      </w:r>
      <w:r w:rsidDel="00000000" w:rsidR="00000000" w:rsidRPr="00000000">
        <w:rPr>
          <w:rtl w:val="0"/>
        </w:rPr>
      </w:r>
    </w:p>
    <w:p w:rsidR="00000000" w:rsidDel="00000000" w:rsidP="00000000" w:rsidRDefault="00000000" w:rsidRPr="00000000" w14:paraId="00000060">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Considerações Finais</w:t>
      </w:r>
    </w:p>
    <w:p w:rsidR="00000000" w:rsidDel="00000000" w:rsidP="00000000" w:rsidRDefault="00000000" w:rsidRPr="00000000" w14:paraId="00000061">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w:t>
      </w:r>
      <w:r w:rsidDel="00000000" w:rsidR="00000000" w:rsidRPr="00000000">
        <w:rPr>
          <w:rFonts w:ascii="Times New Roman" w:cs="Times New Roman" w:eastAsia="Times New Roman" w:hAnsi="Times New Roman"/>
          <w:i w:val="1"/>
          <w:iCs w:val="1"/>
          <w:sz w:val="24"/>
          <w:szCs w:val="24"/>
          <w:rtl w:val="0"/>
        </w:rPr>
        <w:t xml:space="preserve">Data Lakehouse</w:t>
      </w:r>
      <w:r w:rsidDel="00000000" w:rsidR="00000000" w:rsidRPr="00000000">
        <w:rPr>
          <w:rFonts w:ascii="Times New Roman" w:cs="Times New Roman" w:eastAsia="Times New Roman" w:hAnsi="Times New Roman"/>
          <w:sz w:val="24"/>
          <w:szCs w:val="24"/>
          <w:rtl w:val="0"/>
        </w:rPr>
        <w:t xml:space="preserve"> sobre Apache Iceberg, com ingestão dual Kappa e </w:t>
      </w:r>
      <w:r w:rsidDel="00000000" w:rsidR="00000000" w:rsidRPr="00000000">
        <w:rPr>
          <w:rFonts w:ascii="Times New Roman" w:cs="Times New Roman" w:eastAsia="Times New Roman" w:hAnsi="Times New Roman"/>
          <w:i w:val="1"/>
          <w:iCs w:val="1"/>
          <w:sz w:val="24"/>
          <w:szCs w:val="24"/>
          <w:rtl w:val="0"/>
        </w:rPr>
        <w:t xml:space="preserve">Continuous Close</w:t>
      </w:r>
      <w:r w:rsidDel="00000000" w:rsidR="00000000" w:rsidRPr="00000000">
        <w:rPr>
          <w:rFonts w:ascii="Times New Roman" w:cs="Times New Roman" w:eastAsia="Times New Roman" w:hAnsi="Times New Roman"/>
          <w:sz w:val="24"/>
          <w:szCs w:val="24"/>
          <w:rtl w:val="0"/>
        </w:rPr>
        <w:t xml:space="preserve">, resolve as três questões da TechGrowth. A lucratividade real é viabilizada pela conciliação financeira na camada Gold com contratos de dados; o </w:t>
      </w:r>
      <w:r w:rsidDel="00000000" w:rsidR="00000000" w:rsidRPr="00000000">
        <w:rPr>
          <w:rFonts w:ascii="Times New Roman" w:cs="Times New Roman" w:eastAsia="Times New Roman" w:hAnsi="Times New Roman"/>
          <w:i w:val="1"/>
          <w:iCs w:val="1"/>
          <w:sz w:val="24"/>
          <w:szCs w:val="24"/>
          <w:rtl w:val="0"/>
        </w:rPr>
        <w:t xml:space="preserve">Continuous Close</w:t>
      </w:r>
      <w:r w:rsidDel="00000000" w:rsidR="00000000" w:rsidRPr="00000000">
        <w:rPr>
          <w:rFonts w:ascii="Times New Roman" w:cs="Times New Roman" w:eastAsia="Times New Roman" w:hAnsi="Times New Roman"/>
          <w:sz w:val="24"/>
          <w:szCs w:val="24"/>
          <w:rtl w:val="0"/>
        </w:rPr>
        <w:t xml:space="preserve"> reduz visibilidade de D+1 para D+0,25 (75%). A mensuração do funil é habilitada pelo </w:t>
      </w:r>
      <w:r w:rsidDel="00000000" w:rsidR="00000000" w:rsidRPr="00000000">
        <w:rPr>
          <w:rFonts w:ascii="Times New Roman" w:cs="Times New Roman" w:eastAsia="Times New Roman" w:hAnsi="Times New Roman"/>
          <w:i w:val="1"/>
          <w:iCs w:val="1"/>
          <w:sz w:val="24"/>
          <w:szCs w:val="24"/>
          <w:rtl w:val="0"/>
        </w:rPr>
        <w:t xml:space="preserve">streaming</w:t>
      </w:r>
      <w:r w:rsidDel="00000000" w:rsidR="00000000" w:rsidRPr="00000000">
        <w:rPr>
          <w:rFonts w:ascii="Times New Roman" w:cs="Times New Roman" w:eastAsia="Times New Roman" w:hAnsi="Times New Roman"/>
          <w:sz w:val="24"/>
          <w:szCs w:val="24"/>
          <w:rtl w:val="0"/>
        </w:rPr>
        <w:t xml:space="preserve"> com latência inferior a cinco minutos, validada pela simulação (Flores, 2026): 191.317 eventos, 100% SLA, duas partições PACELC com isolamento celular. A previsão de demanda é sustentada pela disponibilidade de 99,0% e pelas cinco regras de qualidade com disjuntores.</w:t>
      </w:r>
    </w:p>
    <w:p w:rsidR="00000000" w:rsidDel="00000000" w:rsidP="00000000" w:rsidRDefault="00000000" w:rsidRPr="00000000" w14:paraId="00000062">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conformidade LGPD sobre Parquet imutável é garantida pela destruição criptográfica de chaves por cliente, eliminando a tensão entre imutabilidade analítica e direito de eliminação. A Lei de Conway (1968), validada por MacCormack, Baldwin, e Rusnak (2012), revela que silos de comunicação geram silos de dados; por isso, a arquitetura proposta requer alinhamento entre domínios, governança e modularidade operacional: equipes por domínio produzem, </w:t>
      </w:r>
      <w:r w:rsidDel="00000000" w:rsidR="00000000" w:rsidRPr="00000000">
        <w:rPr>
          <w:rFonts w:ascii="Times New Roman" w:cs="Times New Roman" w:eastAsia="Times New Roman" w:hAnsi="Times New Roman"/>
          <w:i w:val="1"/>
          <w:iCs w:val="1"/>
          <w:sz w:val="24"/>
          <w:szCs w:val="24"/>
          <w:rtl w:val="0"/>
        </w:rPr>
        <w:t xml:space="preserve">ceteris paribus</w:t>
      </w:r>
      <w:r w:rsidDel="00000000" w:rsidR="00000000" w:rsidRPr="00000000">
        <w:rPr>
          <w:rFonts w:ascii="Times New Roman" w:cs="Times New Roman" w:eastAsia="Times New Roman" w:hAnsi="Times New Roman"/>
          <w:sz w:val="24"/>
          <w:szCs w:val="24"/>
          <w:rtl w:val="0"/>
        </w:rPr>
        <w:t xml:space="preserve">, arquiteturas modulares. O equilíbrio entre inovação, riscos e maturidade é o desafio contínuo da gestão de plataformas de dados.</w:t>
      </w:r>
    </w:p>
    <w:p w:rsidR="00000000" w:rsidDel="00000000" w:rsidP="00000000" w:rsidRDefault="00000000" w:rsidRPr="00000000" w14:paraId="00000063">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Direções futuras: (i) simulação com múltiplas repetições e intervalos de confiança de 95%; (ii) análise de sensibilidade paramétrica; (iii) criptografia pós-quântica. O teorema PACELC (Abadi, 2012) garante que perfeição é inatingível em sistemas distribuídos; a arquitetura proposta representa o equilíbrio ótimo validado por evidência empírica reprodutível.</w:t>
      </w:r>
    </w:p>
    <w:p w:rsidR="00000000" w:rsidDel="00000000" w:rsidP="00000000" w:rsidRDefault="00000000" w:rsidRPr="00000000" w14:paraId="00000064">
      <w:pPr>
        <w:pStyle w:val="Heading1"/>
        <w:keepNext w:val="0"/>
        <w:keepLines w:val="0"/>
        <w:pageBreakBefore w:val="1"/>
        <w:spacing w:before="240" w:line="48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065">
      <w:pPr>
        <w:spacing w:line="480" w:lineRule="auto"/>
        <w:ind w:left="720"/>
        <w:rPr/>
      </w:pPr>
      <w:r w:rsidDel="00000000" w:rsidR="00000000" w:rsidRPr="00000000">
        <w:rPr>
          <w:rFonts w:ascii="Times New Roman" w:cs="Times New Roman" w:eastAsia="Times New Roman" w:hAnsi="Times New Roman"/>
          <w:sz w:val="24"/>
          <w:szCs w:val="24"/>
          <w:rtl w:val="0"/>
        </w:rPr>
        <w:t xml:space="preserve">Abadi, D. J. (2012). Consistency tradeoffs in modern distributed database system design: CAP is only part of the story. IEEE Computer, 45(2), 37-42. https://doi.org/10.1109/MC.2012.33</w:t>
      </w:r>
      <w:r w:rsidDel="00000000" w:rsidR="00000000" w:rsidRPr="00000000">
        <w:rPr>
          <w:rtl w:val="0"/>
        </w:rPr>
      </w:r>
    </w:p>
    <w:p w:rsidR="00000000" w:rsidDel="00000000" w:rsidP="00000000" w:rsidRDefault="00000000" w:rsidRPr="00000000" w14:paraId="00000066">
      <w:pPr>
        <w:spacing w:line="480" w:lineRule="auto"/>
        <w:ind w:left="720"/>
        <w:rPr/>
      </w:pPr>
      <w:r w:rsidDel="00000000" w:rsidR="00000000" w:rsidRPr="00000000">
        <w:rPr>
          <w:rFonts w:ascii="Times New Roman" w:cs="Times New Roman" w:eastAsia="Times New Roman" w:hAnsi="Times New Roman"/>
          <w:sz w:val="24"/>
          <w:szCs w:val="24"/>
          <w:rtl w:val="0"/>
        </w:rPr>
        <w:t xml:space="preserve">Amazon Web Services. (2024). Reducing the scope of impact with cell-based architecture. AWS Well-Architected Framework. https://docs.aws.amazon.com/wellarchitected/latest/reducing-scope-of-impact-with-cell-based-architecture/</w:t>
      </w:r>
      <w:r w:rsidDel="00000000" w:rsidR="00000000" w:rsidRPr="00000000">
        <w:rPr>
          <w:rtl w:val="0"/>
        </w:rPr>
      </w:r>
    </w:p>
    <w:p w:rsidR="00000000" w:rsidDel="00000000" w:rsidP="00000000" w:rsidRDefault="00000000" w:rsidRPr="00000000" w14:paraId="00000067">
      <w:pPr>
        <w:spacing w:line="480" w:lineRule="auto"/>
        <w:ind w:left="720"/>
        <w:rPr/>
      </w:pPr>
      <w:r w:rsidDel="00000000" w:rsidR="00000000" w:rsidRPr="00000000">
        <w:rPr>
          <w:rFonts w:ascii="Times New Roman" w:cs="Times New Roman" w:eastAsia="Times New Roman" w:hAnsi="Times New Roman"/>
          <w:sz w:val="24"/>
          <w:szCs w:val="24"/>
          <w:rtl w:val="0"/>
        </w:rPr>
        <w:t xml:space="preserve">Armbrust, M., Ghodsi, A., Xin, R., &amp; Zaharia, M. (2021). Lakehouse: A new generation of open platforms that unify data warehousing and advanced analytics. Proceedings of the 11th CIDR. https://www.cidrdb.org/cidr2021/papers/cidr2021_paper17.pdf</w:t>
      </w:r>
      <w:r w:rsidDel="00000000" w:rsidR="00000000" w:rsidRPr="00000000">
        <w:rPr>
          <w:rtl w:val="0"/>
        </w:rPr>
      </w:r>
    </w:p>
    <w:p w:rsidR="00000000" w:rsidDel="00000000" w:rsidP="00000000" w:rsidRDefault="00000000" w:rsidRPr="00000000" w14:paraId="00000068">
      <w:pPr>
        <w:spacing w:line="480" w:lineRule="auto"/>
        <w:ind w:left="720"/>
        <w:rPr/>
      </w:pPr>
      <w:r w:rsidDel="00000000" w:rsidR="00000000" w:rsidRPr="00000000">
        <w:rPr>
          <w:rFonts w:ascii="Times New Roman" w:cs="Times New Roman" w:eastAsia="Times New Roman" w:hAnsi="Times New Roman"/>
          <w:sz w:val="24"/>
          <w:szCs w:val="24"/>
          <w:rtl w:val="0"/>
        </w:rPr>
        <w:t xml:space="preserve">Collet, Y., &amp; Kucherawy, M. S. (2021). Zstandard compression and the 'application/zstd' media type. IETF RFC 8878. https://www.rfc-editor.org/rfc/rfc8878.html</w:t>
      </w:r>
      <w:r w:rsidDel="00000000" w:rsidR="00000000" w:rsidRPr="00000000">
        <w:rPr>
          <w:rtl w:val="0"/>
        </w:rPr>
      </w:r>
    </w:p>
    <w:p w:rsidR="00000000" w:rsidDel="00000000" w:rsidP="00000000" w:rsidRDefault="00000000" w:rsidRPr="00000000" w14:paraId="00000069">
      <w:pPr>
        <w:spacing w:line="480" w:lineRule="auto"/>
        <w:ind w:left="720"/>
        <w:rPr/>
      </w:pPr>
      <w:r w:rsidDel="00000000" w:rsidR="00000000" w:rsidRPr="00000000">
        <w:rPr>
          <w:rFonts w:ascii="Times New Roman" w:cs="Times New Roman" w:eastAsia="Times New Roman" w:hAnsi="Times New Roman"/>
          <w:sz w:val="24"/>
          <w:szCs w:val="24"/>
          <w:rtl w:val="0"/>
        </w:rPr>
        <w:t xml:space="preserve">Conway, M. E. (1968). How do committees invent? Datamation, 14(4), 28-31. https://www.melconway.com/Home/Committees_Paper.html</w:t>
      </w:r>
      <w:r w:rsidDel="00000000" w:rsidR="00000000" w:rsidRPr="00000000">
        <w:rPr>
          <w:rtl w:val="0"/>
        </w:rPr>
      </w:r>
    </w:p>
    <w:p w:rsidR="00000000" w:rsidDel="00000000" w:rsidP="00000000" w:rsidRDefault="00000000" w:rsidRPr="00000000" w14:paraId="0000006A">
      <w:pPr>
        <w:spacing w:line="480" w:lineRule="auto"/>
        <w:ind w:left="720"/>
        <w:rPr/>
      </w:pPr>
      <w:r w:rsidDel="00000000" w:rsidR="00000000" w:rsidRPr="00000000">
        <w:rPr>
          <w:rFonts w:ascii="Times New Roman" w:cs="Times New Roman" w:eastAsia="Times New Roman" w:hAnsi="Times New Roman"/>
          <w:sz w:val="24"/>
          <w:szCs w:val="24"/>
          <w:rtl w:val="0"/>
        </w:rPr>
        <w:t xml:space="preserve">Dean, J., &amp; Barroso, L. A. (2013). The tail at scale. Communications of the ACM, 56(2), 74-80. https://doi.org/10.1145/2408776.2408794</w:t>
      </w:r>
      <w:r w:rsidDel="00000000" w:rsidR="00000000" w:rsidRPr="00000000">
        <w:rPr>
          <w:rtl w:val="0"/>
        </w:rPr>
      </w:r>
    </w:p>
    <w:p w:rsidR="00000000" w:rsidDel="00000000" w:rsidP="00000000" w:rsidRDefault="00000000" w:rsidRPr="00000000" w14:paraId="0000006B">
      <w:pPr>
        <w:spacing w:line="480" w:lineRule="auto"/>
        <w:ind w:left="720"/>
        <w:rPr/>
      </w:pPr>
      <w:r w:rsidDel="00000000" w:rsidR="00000000" w:rsidRPr="00000000">
        <w:rPr>
          <w:rFonts w:ascii="Times New Roman" w:cs="Times New Roman" w:eastAsia="Times New Roman" w:hAnsi="Times New Roman"/>
          <w:sz w:val="24"/>
          <w:szCs w:val="24"/>
          <w:rtl w:val="0"/>
        </w:rPr>
        <w:t xml:space="preserve">Dehghani, Z. (2022). Data mesh: Delivering data-driven value at scale. O’Reilly Media. ISBN: 978-1492092391.</w:t>
      </w:r>
      <w:r w:rsidDel="00000000" w:rsidR="00000000" w:rsidRPr="00000000">
        <w:rPr>
          <w:rtl w:val="0"/>
        </w:rPr>
      </w:r>
    </w:p>
    <w:p w:rsidR="00000000" w:rsidDel="00000000" w:rsidP="00000000" w:rsidRDefault="00000000" w:rsidRPr="00000000" w14:paraId="0000006C">
      <w:pPr>
        <w:spacing w:line="480" w:lineRule="auto"/>
        <w:ind w:left="720"/>
        <w:rPr/>
      </w:pPr>
      <w:r w:rsidDel="00000000" w:rsidR="00000000" w:rsidRPr="00000000">
        <w:rPr>
          <w:rFonts w:ascii="Times New Roman" w:cs="Times New Roman" w:eastAsia="Times New Roman" w:hAnsi="Times New Roman"/>
          <w:sz w:val="24"/>
          <w:szCs w:val="24"/>
          <w:rtl w:val="0"/>
        </w:rPr>
        <w:t xml:space="preserve">FinOps Foundation. (2025). FinOps framework. Linux Foundation. https://www.finops.org/framework/</w:t>
      </w:r>
      <w:r w:rsidDel="00000000" w:rsidR="00000000" w:rsidRPr="00000000">
        <w:rPr>
          <w:rtl w:val="0"/>
        </w:rPr>
      </w:r>
    </w:p>
    <w:p w:rsidR="00000000" w:rsidDel="00000000" w:rsidP="00000000" w:rsidRDefault="00000000" w:rsidRPr="00000000" w14:paraId="0000006D">
      <w:pPr>
        <w:spacing w:line="480" w:lineRule="auto"/>
        <w:ind w:left="720"/>
        <w:rPr/>
      </w:pPr>
      <w:r w:rsidDel="00000000" w:rsidR="00000000" w:rsidRPr="00000000">
        <w:rPr>
          <w:rFonts w:ascii="Times New Roman" w:cs="Times New Roman" w:eastAsia="Times New Roman" w:hAnsi="Times New Roman"/>
          <w:sz w:val="24"/>
          <w:szCs w:val="24"/>
          <w:rtl w:val="0"/>
        </w:rPr>
        <w:t xml:space="preserve">Flores, C. U. (2026). TechGrowth DES: Stochastic simulation of Kafka-Flink-Iceberg pipeline with PACELC network partition injection. Zenodo. https://doi.org/10.5281/zenodo.19244059</w:t>
      </w:r>
      <w:r w:rsidDel="00000000" w:rsidR="00000000" w:rsidRPr="00000000">
        <w:rPr>
          <w:rtl w:val="0"/>
        </w:rPr>
      </w:r>
    </w:p>
    <w:p w:rsidR="00000000" w:rsidDel="00000000" w:rsidP="00000000" w:rsidRDefault="00000000" w:rsidRPr="00000000" w14:paraId="0000006E">
      <w:pPr>
        <w:spacing w:line="480" w:lineRule="auto"/>
        <w:ind w:left="720"/>
        <w:rPr/>
      </w:pPr>
      <w:r w:rsidDel="00000000" w:rsidR="00000000" w:rsidRPr="00000000">
        <w:rPr>
          <w:rFonts w:ascii="Times New Roman" w:cs="Times New Roman" w:eastAsia="Times New Roman" w:hAnsi="Times New Roman"/>
          <w:sz w:val="24"/>
          <w:szCs w:val="24"/>
          <w:rtl w:val="0"/>
        </w:rPr>
        <w:t xml:space="preserve">Jain, P., Kraft, P., Power, C., Das, T., Stoica, I., &amp; Zaharia, M. (2023). Analyzing and comparing lakehouse storage systems. Proceedings of the 13th CIDR. https://www.cidrdb.org/cidr2023/papers/p92-jain.pdf</w:t>
      </w:r>
      <w:r w:rsidDel="00000000" w:rsidR="00000000" w:rsidRPr="00000000">
        <w:rPr>
          <w:rtl w:val="0"/>
        </w:rPr>
      </w:r>
    </w:p>
    <w:p w:rsidR="00000000" w:rsidDel="00000000" w:rsidP="00000000" w:rsidRDefault="00000000" w:rsidRPr="00000000" w14:paraId="0000006F">
      <w:pPr>
        <w:spacing w:line="480" w:lineRule="auto"/>
        <w:ind w:left="720"/>
        <w:rPr/>
      </w:pPr>
      <w:r w:rsidDel="00000000" w:rsidR="00000000" w:rsidRPr="00000000">
        <w:rPr>
          <w:rFonts w:ascii="Times New Roman" w:cs="Times New Roman" w:eastAsia="Times New Roman" w:hAnsi="Times New Roman"/>
          <w:sz w:val="24"/>
          <w:szCs w:val="24"/>
          <w:rtl w:val="0"/>
        </w:rPr>
        <w:t xml:space="preserve">Chandramouli, R., &amp; Hibbard, E. (2025). Guidelines for media sanitization (NIST SP 800-88 Rev. 2). National Institute of Standards and Technology. https://doi.org/10.6028/NIST.SP.800-88r2</w:t>
      </w:r>
      <w:r w:rsidDel="00000000" w:rsidR="00000000" w:rsidRPr="00000000">
        <w:rPr>
          <w:rtl w:val="0"/>
        </w:rPr>
      </w:r>
    </w:p>
    <w:p w:rsidR="00000000" w:rsidDel="00000000" w:rsidP="00000000" w:rsidRDefault="00000000" w:rsidRPr="00000000" w14:paraId="00000070">
      <w:pPr>
        <w:spacing w:line="480" w:lineRule="auto"/>
        <w:ind w:left="720"/>
        <w:rPr/>
      </w:pPr>
      <w:r w:rsidDel="00000000" w:rsidR="00000000" w:rsidRPr="00000000">
        <w:rPr>
          <w:rFonts w:ascii="Times New Roman" w:cs="Times New Roman" w:eastAsia="Times New Roman" w:hAnsi="Times New Roman"/>
          <w:sz w:val="24"/>
          <w:szCs w:val="24"/>
          <w:rtl w:val="0"/>
        </w:rPr>
        <w:t xml:space="preserve">Kreps, J. (2014). Questioning the Lambda architecture. O’Reilly Radar. https://www.oreilly.com/radar/questioning-the-lambda-architecture/</w:t>
      </w:r>
      <w:r w:rsidDel="00000000" w:rsidR="00000000" w:rsidRPr="00000000">
        <w:rPr>
          <w:rtl w:val="0"/>
        </w:rPr>
      </w:r>
    </w:p>
    <w:p w:rsidR="00000000" w:rsidDel="00000000" w:rsidP="00000000" w:rsidRDefault="00000000" w:rsidRPr="00000000" w14:paraId="00000071">
      <w:pPr>
        <w:spacing w:line="480" w:lineRule="auto"/>
        <w:ind w:left="720"/>
        <w:rPr/>
      </w:pPr>
      <w:r w:rsidDel="00000000" w:rsidR="00000000" w:rsidRPr="00000000">
        <w:rPr>
          <w:rFonts w:ascii="Times New Roman" w:cs="Times New Roman" w:eastAsia="Times New Roman" w:hAnsi="Times New Roman"/>
          <w:sz w:val="24"/>
          <w:szCs w:val="24"/>
          <w:rtl w:val="0"/>
        </w:rPr>
        <w:t xml:space="preserve">Little, J. D. C. (1961). A proof for the queuing formula: L = λW. Operations Research, 9(3), 383-387. https://doi.org/10.1287/opre.9.3.383</w:t>
      </w:r>
      <w:r w:rsidDel="00000000" w:rsidR="00000000" w:rsidRPr="00000000">
        <w:rPr>
          <w:rtl w:val="0"/>
        </w:rPr>
      </w:r>
    </w:p>
    <w:p w:rsidR="00000000" w:rsidDel="00000000" w:rsidP="00000000" w:rsidRDefault="00000000" w:rsidRPr="00000000" w14:paraId="00000072">
      <w:pPr>
        <w:spacing w:line="480" w:lineRule="auto"/>
        <w:ind w:left="720"/>
        <w:rPr/>
      </w:pPr>
      <w:r w:rsidDel="00000000" w:rsidR="00000000" w:rsidRPr="00000000">
        <w:rPr>
          <w:rFonts w:ascii="Times New Roman" w:cs="Times New Roman" w:eastAsia="Times New Roman" w:hAnsi="Times New Roman"/>
          <w:sz w:val="24"/>
          <w:szCs w:val="24"/>
          <w:rtl w:val="0"/>
        </w:rPr>
        <w:t xml:space="preserve">MacCárthaigh, C. (2019). Workload isolation using shuffle-sharding. The Amazon Builders’ Library. https://aws.amazon.com/builders-library/workload-isolation-using-shuffle-sharding</w:t>
      </w:r>
      <w:r w:rsidDel="00000000" w:rsidR="00000000" w:rsidRPr="00000000">
        <w:rPr>
          <w:rtl w:val="0"/>
        </w:rPr>
      </w:r>
    </w:p>
    <w:p w:rsidR="00000000" w:rsidDel="00000000" w:rsidP="00000000" w:rsidRDefault="00000000" w:rsidRPr="00000000" w14:paraId="00000073">
      <w:pPr>
        <w:spacing w:line="480" w:lineRule="auto"/>
        <w:ind w:left="720"/>
        <w:rPr/>
      </w:pPr>
      <w:r w:rsidDel="00000000" w:rsidR="00000000" w:rsidRPr="00000000">
        <w:rPr>
          <w:rFonts w:ascii="Times New Roman" w:cs="Times New Roman" w:eastAsia="Times New Roman" w:hAnsi="Times New Roman"/>
          <w:sz w:val="24"/>
          <w:szCs w:val="24"/>
          <w:rtl w:val="0"/>
        </w:rPr>
        <w:t xml:space="preserve">MacCormack, A., Baldwin, C., &amp; Rusnak, J. (2012). Exploring the duality between product and organizational architectures. Research Policy, 41(8), 1309-1324. https://doi.org/10.1016/j.respol.2012.04.011</w:t>
      </w:r>
      <w:r w:rsidDel="00000000" w:rsidR="00000000" w:rsidRPr="00000000">
        <w:rPr>
          <w:rtl w:val="0"/>
        </w:rPr>
      </w:r>
    </w:p>
    <w:p w:rsidR="00000000" w:rsidDel="00000000" w:rsidP="00000000" w:rsidRDefault="00000000" w:rsidRPr="00000000" w14:paraId="00000074">
      <w:pPr>
        <w:spacing w:line="480" w:lineRule="auto"/>
        <w:ind w:left="720"/>
        <w:rPr/>
      </w:pPr>
      <w:r w:rsidDel="00000000" w:rsidR="00000000" w:rsidRPr="00000000">
        <w:rPr>
          <w:rFonts w:ascii="Times New Roman" w:cs="Times New Roman" w:eastAsia="Times New Roman" w:hAnsi="Times New Roman"/>
          <w:sz w:val="24"/>
          <w:szCs w:val="24"/>
          <w:rtl w:val="0"/>
        </w:rPr>
        <w:t xml:space="preserve">Okolnychyi, A., Sun, C., Tanimura, K., Spitzer, R., Blue, R., Ho, S., Gu, Y., Lakkundi, V., &amp; Tsai, D. B. (2024). Petabyte-scale row-level operations in data lakehouses. Proceedings of the VLDB Endowment, 17(12), 4159-4172. https://doi.org/10.14778/3685800.3685834</w:t>
      </w:r>
      <w:r w:rsidDel="00000000" w:rsidR="00000000" w:rsidRPr="00000000">
        <w:rPr>
          <w:rtl w:val="0"/>
        </w:rPr>
      </w:r>
    </w:p>
    <w:p w:rsidR="00000000" w:rsidDel="00000000" w:rsidP="00000000" w:rsidRDefault="00000000" w:rsidRPr="00000000" w14:paraId="00000075">
      <w:pPr>
        <w:spacing w:line="480" w:lineRule="auto"/>
        <w:ind w:left="720"/>
        <w:rPr/>
      </w:pPr>
      <w:r w:rsidDel="00000000" w:rsidR="00000000" w:rsidRPr="00000000">
        <w:rPr>
          <w:rFonts w:ascii="Times New Roman" w:cs="Times New Roman" w:eastAsia="Times New Roman" w:hAnsi="Times New Roman"/>
          <w:sz w:val="24"/>
          <w:szCs w:val="24"/>
          <w:rtl w:val="0"/>
        </w:rPr>
        <w:t xml:space="preserve">Reis, J., &amp; Housley, M. (2022). Fundamentals of data engineering. O’Reilly Media. ISBN: 978-1098108304.</w:t>
      </w:r>
      <w:r w:rsidDel="00000000" w:rsidR="00000000" w:rsidRPr="00000000">
        <w:rPr>
          <w:rtl w:val="0"/>
        </w:rPr>
      </w:r>
    </w:p>
    <w:p w:rsidR="00000000" w:rsidDel="00000000" w:rsidP="00000000" w:rsidRDefault="00000000" w:rsidRPr="00000000" w14:paraId="00000076">
      <w:pPr>
        <w:spacing w:line="480" w:lineRule="auto"/>
        <w:ind w:left="720"/>
        <w:rPr/>
      </w:pPr>
      <w:r w:rsidDel="00000000" w:rsidR="00000000" w:rsidRPr="00000000">
        <w:rPr>
          <w:rFonts w:ascii="Times New Roman" w:cs="Times New Roman" w:eastAsia="Times New Roman" w:hAnsi="Times New Roman"/>
          <w:sz w:val="24"/>
          <w:szCs w:val="24"/>
          <w:rtl w:val="0"/>
        </w:rPr>
        <w:t xml:space="preserve">Rose, S., Borchert, O., Mitchell, S., &amp; Connelly, S. (2020). Zero trust architecture (NIST SP 800-207). https://doi.org/10.6028/NIST.SP.800-207</w:t>
      </w:r>
      <w:r w:rsidDel="00000000" w:rsidR="00000000" w:rsidRPr="00000000">
        <w:rPr>
          <w:rtl w:val="0"/>
        </w:rPr>
      </w:r>
    </w:p>
    <w:p w:rsidR="00000000" w:rsidDel="00000000" w:rsidP="00000000" w:rsidRDefault="00000000" w:rsidRPr="00000000" w14:paraId="00000077">
      <w:pPr>
        <w:spacing w:line="480" w:lineRule="auto"/>
        <w:ind w:left="720"/>
        <w:rPr/>
      </w:pPr>
      <w:r w:rsidDel="00000000" w:rsidR="00000000" w:rsidRPr="00000000">
        <w:rPr>
          <w:rFonts w:ascii="Times New Roman" w:cs="Times New Roman" w:eastAsia="Times New Roman" w:hAnsi="Times New Roman"/>
          <w:sz w:val="24"/>
          <w:szCs w:val="24"/>
          <w:rtl w:val="0"/>
        </w:rPr>
        <w:t xml:space="preserve">Uttamchandani, S. (2018). Taming data quality with circuit breakers. O’Reilly Strata Data Conference. https://modern-cdo.medium.com/taming-data-quality-with-circuit-breakers-dbe550d3ca78</w:t>
      </w:r>
      <w:r w:rsidDel="00000000" w:rsidR="00000000" w:rsidRPr="00000000">
        <w:rPr>
          <w:rtl w:val="0"/>
        </w:rPr>
      </w:r>
    </w:p>
    <w:p w:rsidR="00000000" w:rsidDel="00000000" w:rsidP="00000000" w:rsidRDefault="00000000" w:rsidRPr="00000000" w14:paraId="00000078">
      <w:pPr>
        <w:spacing w:line="480" w:lineRule="auto"/>
        <w:ind w:left="720"/>
        <w:rPr/>
      </w:pPr>
      <w:r w:rsidDel="00000000" w:rsidR="00000000" w:rsidRPr="00000000">
        <w:rPr>
          <w:rFonts w:ascii="Times New Roman" w:cs="Times New Roman" w:eastAsia="Times New Roman" w:hAnsi="Times New Roman"/>
          <w:sz w:val="24"/>
          <w:szCs w:val="24"/>
          <w:rtl w:val="0"/>
        </w:rPr>
        <w:t xml:space="preserve">Wang, G., Chen, L., Dikshit, A., Gustafson, J., Chen, B., Sax, M. J., Roesler, J., Blee-Goldman, S., Cadonna, B., Mehta, A., Madan, V., &amp; Rao, J. (2021). Consistency and completeness: Rethinking distributed stream processing in Apache Kafka. Proceedings of the 2021 ACM SIGMOD, 2602-2613. https://doi.org/10.1145/3448016.3457556</w:t>
      </w:r>
      <w:r w:rsidDel="00000000" w:rsidR="00000000" w:rsidRPr="00000000">
        <w:rPr>
          <w:rtl w:val="0"/>
        </w:rPr>
      </w:r>
    </w:p>
    <w:p w:rsidR="00000000" w:rsidDel="00000000" w:rsidP="00000000" w:rsidRDefault="00000000" w:rsidRPr="00000000" w14:paraId="00000079">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A">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B">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C">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D">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E">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F">
      <w:pPr>
        <w:pStyle w:val="Heading1"/>
        <w:keepNext w:val="0"/>
        <w:keepLines w:val="0"/>
        <w:spacing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0">
      <w:pPr>
        <w:spacing w:line="480" w:lineRule="auto"/>
        <w:jc w:val="left"/>
        <w:rPr>
          <w:rFonts w:ascii="Times New Roman" w:cs="Times New Roman" w:eastAsia="Times New Roman" w:hAnsi="Times New Roman"/>
          <w:sz w:val="24"/>
          <w:szCs w:val="24"/>
        </w:rPr>
      </w:pPr>
      <w:r w:rsidDel="00000000" w:rsidR="00000000" w:rsidRPr="00000000">
        <w:rPr>
          <w:rtl w:val="0"/>
        </w:rPr>
      </w:r>
    </w:p>
    <w:sectPr>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ind w:left="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Signers xmlns:go="http://customooxmlschemas.google.com/" xmlns:r="http://schemas.openxmlformats.org/officeDocument/2006/relationships">
  <go:Signer>
    <go:Gdesa>{"SignerLabel":"Ulisses Flores","SignerId":"esignature.jalwnffx5zmw","SignerColor":"#e8f0fe","SignerIndex":"1"}</go:Gdesa>
  </go:Signer>
</go:Signers>
</file>

<file path=customXML/itemProps1.xml><?xml version="1.0" encoding="utf-8"?>
<ds:datastoreItem xmlns:ds="http://schemas.openxmlformats.org/officeDocument/2006/customXml" ds:itemID="{999-1234-1234-1234-123412341234}">
  <ds:schemaRefs>
    <ds:schemaRef ds:uri="http://customooxmlschemas.google.com/"/>
  </ds:schemaRefs>
</ds:datastoreItem>
</file>