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62275" cy="15430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TechGrowth: Da Fragmentação ao Lakehouse Celular</w:t>
      </w:r>
      <w:r w:rsidDel="00000000" w:rsidR="00000000" w:rsidRPr="00000000">
        <w:rPr>
          <w:rtl w:val="0"/>
        </w:rPr>
      </w:r>
    </w:p>
    <w:p w:rsidR="00000000" w:rsidDel="00000000" w:rsidP="00000000" w:rsidRDefault="00000000" w:rsidRPr="00000000" w14:paraId="00000005">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Arquitetura de Dados Distribuída com Kappa Streaming, Continuous Close, Crypto-Shredding e Validação por Simulação de Eventos Discretos</w:t>
      </w: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Ulisses Flores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AMERICAN GLOBAL TECH UNIVERSITY</w:t>
      </w:r>
      <w:r w:rsidDel="00000000" w:rsidR="00000000" w:rsidRPr="00000000">
        <w:rPr>
          <w:rtl w:val="0"/>
        </w:rPr>
      </w:r>
    </w:p>
    <w:p w:rsidR="00000000" w:rsidDel="00000000" w:rsidP="00000000" w:rsidRDefault="00000000" w:rsidRPr="00000000" w14:paraId="0000000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MESTRADO EM INTELIGÊNCIA ARTIFICIAL</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MIT-508 — Data Platform Engineering da American Global Tech University - AGTU.</w:t>
      </w:r>
    </w:p>
    <w:p w:rsidR="00000000" w:rsidDel="00000000" w:rsidP="00000000" w:rsidRDefault="00000000" w:rsidRPr="00000000" w14:paraId="0000000E">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Dr. Emerson Rodolfo Abraham</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20" w:line="480" w:lineRule="auto"/>
        <w:jc w:val="center"/>
        <w:rPr>
          <w:rFonts w:ascii="Times New Roman" w:cs="Times New Roman" w:eastAsia="Times New Roman" w:hAnsi="Times New Roman"/>
          <w:sz w:val="24"/>
          <w:szCs w:val="24"/>
        </w:rPr>
        <w:sectPr>
          <w:headerReference r:id="rId8" w:type="default"/>
          <w:headerReference r:id="rId9" w:type="first"/>
          <w:footerReference r:id="rId10" w:type="first"/>
          <w:pgSz w:h="15840" w:w="12240" w:orient="portrait"/>
          <w:pgMar w:bottom="1440" w:top="1440" w:left="1440" w:right="1440" w:header="720" w:footer="720"/>
          <w:pgNumType w:start="0"/>
          <w:titlePg w:val="1"/>
        </w:sectPr>
      </w:pPr>
      <w:r w:rsidDel="00000000" w:rsidR="00000000" w:rsidRPr="00000000">
        <w:rPr>
          <w:rFonts w:ascii="Times New Roman" w:cs="Times New Roman" w:eastAsia="Times New Roman" w:hAnsi="Times New Roman"/>
          <w:sz w:val="24"/>
          <w:szCs w:val="24"/>
          <w:rtl w:val="0"/>
        </w:rPr>
        <w:t xml:space="preserve">28 de março de 2026</w:t>
      </w:r>
    </w:p>
    <w:p w:rsidR="00000000" w:rsidDel="00000000" w:rsidP="00000000" w:rsidRDefault="00000000" w:rsidRPr="00000000" w14:paraId="00000012">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Resumo</w:t>
      </w:r>
      <w:r w:rsidDel="00000000" w:rsidR="00000000" w:rsidRPr="00000000">
        <w:rPr>
          <w:rtl w:val="0"/>
        </w:rPr>
      </w:r>
    </w:p>
    <w:p w:rsidR="00000000" w:rsidDel="00000000" w:rsidP="00000000" w:rsidRDefault="00000000" w:rsidRPr="00000000" w14:paraId="0000001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estudo de caso analisa a modernização do ecossistema de dados da TechGrowth, empresa de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em rápido crescimento que enfrenta fragmentação em silos, inconsistência semântica e ausência de rastreabilidade — condição denominada </w:t>
      </w:r>
      <w:r w:rsidDel="00000000" w:rsidR="00000000" w:rsidRPr="00000000">
        <w:rPr>
          <w:rFonts w:ascii="Times New Roman" w:cs="Times New Roman" w:eastAsia="Times New Roman" w:hAnsi="Times New Roman"/>
          <w:i w:val="1"/>
          <w:iCs w:val="1"/>
          <w:sz w:val="24"/>
          <w:szCs w:val="24"/>
          <w:rtl w:val="0"/>
        </w:rPr>
        <w:t xml:space="preserve">Hollow Core</w:t>
      </w:r>
      <w:r w:rsidDel="00000000" w:rsidR="00000000" w:rsidRPr="00000000">
        <w:rPr>
          <w:rFonts w:ascii="Times New Roman" w:cs="Times New Roman" w:eastAsia="Times New Roman" w:hAnsi="Times New Roman"/>
          <w:sz w:val="24"/>
          <w:szCs w:val="24"/>
          <w:rtl w:val="0"/>
        </w:rPr>
        <w:t xml:space="preserve">. Propõe-se uma arquitetura </w:t>
      </w:r>
      <w:r w:rsidDel="00000000" w:rsidR="00000000" w:rsidRPr="00000000">
        <w:rPr>
          <w:rFonts w:ascii="Times New Roman" w:cs="Times New Roman" w:eastAsia="Times New Roman" w:hAnsi="Times New Roman"/>
          <w:i w:val="1"/>
          <w:iCs w:val="1"/>
          <w:sz w:val="24"/>
          <w:szCs w:val="24"/>
          <w:rtl w:val="0"/>
        </w:rPr>
        <w:t xml:space="preserve">Data Lakehouse</w:t>
      </w:r>
      <w:r w:rsidDel="00000000" w:rsidR="00000000" w:rsidRPr="00000000">
        <w:rPr>
          <w:rFonts w:ascii="Times New Roman" w:cs="Times New Roman" w:eastAsia="Times New Roman" w:hAnsi="Times New Roman"/>
          <w:sz w:val="24"/>
          <w:szCs w:val="24"/>
          <w:rtl w:val="0"/>
        </w:rPr>
        <w:t xml:space="preserve"> sobre Apache Iceberg com ingestão dual: caminho de </w:t>
      </w:r>
      <w:r w:rsidDel="00000000" w:rsidR="00000000" w:rsidRPr="00000000">
        <w:rPr>
          <w:rFonts w:ascii="Times New Roman" w:cs="Times New Roman" w:eastAsia="Times New Roman" w:hAnsi="Times New Roman"/>
          <w:i w:val="1"/>
          <w:i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via Kafka e Flink para SLA inferior a cinco minutos, e processamento incremental em modelo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com fechamentos financeiros a cada seis horas. A governança é operacionalizada por contratos de dados na Arquitetura Medallion com cinco regras de qualidade verificáveis. A conformidade com a LGPD sobre arquivos Parquet imutáveis é garantida via destruição criptográfica de chaves (AES-128-GCM). A viabilidade foi validada por simulação de eventos discretos, que processou 191.317 eventos com 100% de conformidade sob estresse de 5.800 eventos por segundo e injeção de partições de rede.</w:t>
      </w:r>
    </w:p>
    <w:p w:rsidR="00000000" w:rsidDel="00000000" w:rsidP="00000000" w:rsidRDefault="00000000" w:rsidRPr="00000000" w14:paraId="00000014">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after="24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 </w:t>
      </w:r>
      <w:r w:rsidDel="00000000" w:rsidR="00000000" w:rsidRPr="00000000">
        <w:rPr>
          <w:rFonts w:ascii="Times New Roman" w:cs="Times New Roman" w:eastAsia="Times New Roman" w:hAnsi="Times New Roman"/>
          <w:sz w:val="24"/>
          <w:szCs w:val="24"/>
          <w:rtl w:val="0"/>
        </w:rPr>
        <w:t xml:space="preserve">data lakehouse; arquitetura kappa; crypto-shredding; continuous close; lgpd; finops.</w:t>
      </w:r>
    </w:p>
    <w:p w:rsidR="00000000" w:rsidDel="00000000" w:rsidP="00000000" w:rsidRDefault="00000000" w:rsidRPr="00000000" w14:paraId="0000001B">
      <w:pPr>
        <w:spacing w:after="12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examines the data ecosystem modernization of TechGrowth, a rapidly growing e-commerce company facing fragmentation into silos, semantic inconsistency, and lack of traceability — a condition termed Hollow Core. A Data Lakehouse architecture on Apache Iceberg is proposed with dual ingestion: a streaming path via Kafka and Flink for SLAs under five minutes, and incremental processing in a Continuous Close model with financial settlements every six hours. Governance is enforced through Data Contracts in the Medallion Architecture with five verifiable quality rules. Compliance with Brazil’s LGPD over immutable Parquet files is achieved via cryptographic key destruction (AES-128-GCM). Feasibility was validated through a discrete event Simulation, which processed 191,317 events with 100% compliance under stress of 5,800 events per second and network partition injection.</w:t>
      </w:r>
    </w:p>
    <w:p w:rsidR="00000000" w:rsidDel="00000000" w:rsidP="00000000" w:rsidRDefault="00000000" w:rsidRPr="00000000" w14:paraId="0000001D">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40" w:before="1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24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data lakehouse; kappa architecture; crypto-shredding; continuous close; lgpd; finops.</w:t>
      </w:r>
    </w:p>
    <w:p w:rsidR="00000000" w:rsidDel="00000000" w:rsidP="00000000" w:rsidRDefault="00000000" w:rsidRPr="00000000" w14:paraId="00000025">
      <w:pPr>
        <w:pStyle w:val="Heading1"/>
        <w:keepNext w:val="0"/>
        <w:keepLines w:val="0"/>
        <w:spacing w:before="24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Introdução</w:t>
      </w:r>
    </w:p>
    <w:p w:rsidR="00000000" w:rsidDel="00000000" w:rsidP="00000000" w:rsidRDefault="00000000" w:rsidRPr="00000000" w14:paraId="0000002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ecossistema contemporâneo de comércio eletrônico, a capacidade de transformar dados operacionais em inteligência acionável tornou-se pré-requisito de sobrevivência. Conforme Reis e Housley (2022), a engenharia de dados moderna constitui a disciplina que garante fluxo confiável, auditável e governado desde a origem até o consumo analítico. A TechGrowth — empresa de </w:t>
      </w:r>
      <w:r w:rsidDel="00000000" w:rsidR="00000000" w:rsidRPr="00000000">
        <w:rPr>
          <w:rFonts w:ascii="Times New Roman" w:cs="Times New Roman" w:eastAsia="Times New Roman" w:hAnsi="Times New Roman"/>
          <w:i w:val="1"/>
          <w:iCs w:val="1"/>
          <w:sz w:val="24"/>
          <w:szCs w:val="24"/>
          <w:rtl w:val="0"/>
        </w:rPr>
        <w:t xml:space="preserve">e-commerce</w:t>
      </w:r>
      <w:r w:rsidDel="00000000" w:rsidR="00000000" w:rsidRPr="00000000">
        <w:rPr>
          <w:rFonts w:ascii="Times New Roman" w:cs="Times New Roman" w:eastAsia="Times New Roman" w:hAnsi="Times New Roman"/>
          <w:sz w:val="24"/>
          <w:szCs w:val="24"/>
          <w:rtl w:val="0"/>
        </w:rPr>
        <w:t xml:space="preserve"> em hipercrescimento — enfrenta um paradoxo: enquanto operações escalam (cinquenta milhões de eventos diários, trezentos mil pedidos mensais, cinco mil SKUs, dois terabytes de imagens), sua infraestrutura permanece fragmentada em silos com definições inconsistentes e rastreabilidade inexistente.</w:t>
      </w:r>
    </w:p>
    <w:p w:rsidR="00000000" w:rsidDel="00000000" w:rsidP="00000000" w:rsidRDefault="00000000" w:rsidRPr="00000000" w14:paraId="00000027">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condição configura o </w:t>
      </w:r>
      <w:r w:rsidDel="00000000" w:rsidR="00000000" w:rsidRPr="00000000">
        <w:rPr>
          <w:rFonts w:ascii="Times New Roman" w:cs="Times New Roman" w:eastAsia="Times New Roman" w:hAnsi="Times New Roman"/>
          <w:i w:val="1"/>
          <w:iCs w:val="1"/>
          <w:sz w:val="24"/>
          <w:szCs w:val="24"/>
          <w:rtl w:val="0"/>
        </w:rPr>
        <w:t xml:space="preserve">Hollow Core</w:t>
      </w:r>
      <w:r w:rsidDel="00000000" w:rsidR="00000000" w:rsidRPr="00000000">
        <w:rPr>
          <w:rFonts w:ascii="Times New Roman" w:cs="Times New Roman" w:eastAsia="Times New Roman" w:hAnsi="Times New Roman"/>
          <w:sz w:val="24"/>
          <w:szCs w:val="24"/>
          <w:rtl w:val="0"/>
        </w:rPr>
        <w:t xml:space="preserve"> (Núcleo Oco): dissonância na qual canais digitais operam sobre núcleo de dados opaco. A liderança não responde três questões: lucratividade real por produto (incluindo logística, marketing e devoluções), mensuração auditável do funil de conversão, e previsão de demanda para otimização de estoque. Os requisitos não funcionais agravam: atualização de painéis em até cinco minutos, fechamento financeiro em ciclos de seis horas, disponibilidade de 99,0%, e conformidade com a LGPD (Lei nº 13.709/2018) — condição </w:t>
      </w:r>
      <w:r w:rsidDel="00000000" w:rsidR="00000000" w:rsidRPr="00000000">
        <w:rPr>
          <w:rFonts w:ascii="Times New Roman" w:cs="Times New Roman" w:eastAsia="Times New Roman" w:hAnsi="Times New Roman"/>
          <w:i w:val="1"/>
          <w:iCs w:val="1"/>
          <w:sz w:val="24"/>
          <w:szCs w:val="24"/>
          <w:rtl w:val="0"/>
        </w:rPr>
        <w:t xml:space="preserve">sine qua non</w:t>
      </w:r>
      <w:r w:rsidDel="00000000" w:rsidR="00000000" w:rsidRPr="00000000">
        <w:rPr>
          <w:rFonts w:ascii="Times New Roman" w:cs="Times New Roman" w:eastAsia="Times New Roman" w:hAnsi="Times New Roman"/>
          <w:sz w:val="24"/>
          <w:szCs w:val="24"/>
          <w:rtl w:val="0"/>
        </w:rPr>
        <w:t xml:space="preserve"> para operação em território brasileiro.</w:t>
      </w:r>
    </w:p>
    <w:p w:rsidR="00000000" w:rsidDel="00000000" w:rsidP="00000000" w:rsidRDefault="00000000" w:rsidRPr="00000000" w14:paraId="0000002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Propõe-se a modernização em quatro eixos: (i) </w:t>
      </w:r>
      <w:r w:rsidDel="00000000" w:rsidR="00000000" w:rsidRPr="00000000">
        <w:rPr>
          <w:rFonts w:ascii="Times New Roman" w:cs="Times New Roman" w:eastAsia="Times New Roman" w:hAnsi="Times New Roman"/>
          <w:i w:val="1"/>
          <w:iCs w:val="1"/>
          <w:sz w:val="24"/>
          <w:szCs w:val="24"/>
          <w:rtl w:val="0"/>
        </w:rPr>
        <w:t xml:space="preserve">Data Lakehouse</w:t>
      </w:r>
      <w:r w:rsidDel="00000000" w:rsidR="00000000" w:rsidRPr="00000000">
        <w:rPr>
          <w:rFonts w:ascii="Times New Roman" w:cs="Times New Roman" w:eastAsia="Times New Roman" w:hAnsi="Times New Roman"/>
          <w:sz w:val="24"/>
          <w:szCs w:val="24"/>
          <w:rtl w:val="0"/>
        </w:rPr>
        <w:t xml:space="preserve"> com Apache Iceberg; (ii) ingestão dual Kappa +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(iii) governança via contratos de dados e </w:t>
      </w:r>
      <w:r w:rsidDel="00000000" w:rsidR="00000000" w:rsidRPr="00000000">
        <w:rPr>
          <w:rFonts w:ascii="Times New Roman" w:cs="Times New Roman" w:eastAsia="Times New Roman" w:hAnsi="Times New Roman"/>
          <w:i w:val="1"/>
          <w:iCs w:val="1"/>
          <w:sz w:val="24"/>
          <w:szCs w:val="24"/>
          <w:rtl w:val="0"/>
        </w:rPr>
        <w:t xml:space="preserve">crypto-shredding</w:t>
      </w:r>
      <w:r w:rsidDel="00000000" w:rsidR="00000000" w:rsidRPr="00000000">
        <w:rPr>
          <w:rFonts w:ascii="Times New Roman" w:cs="Times New Roman" w:eastAsia="Times New Roman" w:hAnsi="Times New Roman"/>
          <w:sz w:val="24"/>
          <w:szCs w:val="24"/>
          <w:rtl w:val="0"/>
        </w:rPr>
        <w:t xml:space="preserve"> AES-128-GCM; e (iv) validação experimental via Simulação de Eventos Discretos (Flores, 2026), com 100% de conformidade sob 5.800 eps. A análise fundamenta-se no teorema PACELC (Abadi, 2012), que formaliza compromissos entre consistência, latência e disponibilidade.</w:t>
      </w:r>
    </w:p>
    <w:p w:rsidR="00000000" w:rsidDel="00000000" w:rsidP="00000000" w:rsidRDefault="00000000" w:rsidRPr="00000000" w14:paraId="00000029">
      <w:pPr>
        <w:pStyle w:val="Heading1"/>
        <w:keepNext w:val="0"/>
        <w:keepLines w:val="0"/>
        <w:spacing w:before="240" w:line="4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pStyle w:val="Heading1"/>
        <w:keepNext w:val="0"/>
        <w:keepLines w:val="0"/>
        <w:spacing w:before="24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Desenvolvimento</w:t>
      </w:r>
    </w:p>
    <w:p w:rsidR="00000000" w:rsidDel="00000000" w:rsidP="00000000" w:rsidRDefault="00000000" w:rsidRPr="00000000" w14:paraId="0000002B">
      <w:pPr>
        <w:pStyle w:val="Heading2"/>
        <w:keepNext w:val="0"/>
        <w:keepLines w:val="0"/>
        <w:spacing w:after="1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Artigos Selecionados</w:t>
      </w:r>
    </w:p>
    <w:p w:rsidR="00000000" w:rsidDel="00000000" w:rsidP="00000000" w:rsidRDefault="00000000" w:rsidRPr="00000000" w14:paraId="0000002C">
      <w:pPr>
        <w:spacing w:line="480" w:lineRule="auto"/>
        <w:rPr/>
      </w:pPr>
      <w:r w:rsidDel="00000000" w:rsidR="00000000" w:rsidRPr="00000000">
        <w:rPr>
          <w:rFonts w:ascii="Times New Roman" w:cs="Times New Roman" w:eastAsia="Times New Roman" w:hAnsi="Times New Roman"/>
          <w:sz w:val="24"/>
          <w:szCs w:val="24"/>
          <w:rtl w:val="0"/>
        </w:rPr>
        <w:t xml:space="preserve">A fundamentação estrutura-se em quatro pilares contemporâneos. Pilar 1 — Lakehouse: Armbrust et al. (2021) propõem o paradigma que unifica transações ACID do Data Warehouse com flexibilidade do Data Lake; Jain et al. (2023) comparam empiricamente Delta Lake, Iceberg e Hudi; e Okolnychyi et al. (2024) demonstram operações row-level em escala de petabytes. Pilar 2 — Fluxos: Wang et al. (2021) detalham a semântica exactly-once no Kafka, tornando-a adequada à Arquitetura Kappa. Pilar 3 — Governança e segurança: Rose et al. (2020) formalizam Zero Trust, enquanto Chandramouli e Hibbard (2025) atualizam o referencial NIST para sanitização e cryptographic erase. Pilar 4 — Organização: Dehghani (2022) introduz o Data Mesh, ancorado na Lei de Conway (1968), cuja validade empírica foi discutida por MacCormack, Baldwin, e Rusnak (2012).</w:t>
      </w:r>
      <w:r w:rsidDel="00000000" w:rsidR="00000000" w:rsidRPr="00000000">
        <w:rPr>
          <w:rtl w:val="0"/>
        </w:rPr>
      </w:r>
    </w:p>
    <w:p w:rsidR="00000000" w:rsidDel="00000000" w:rsidP="00000000" w:rsidRDefault="00000000" w:rsidRPr="00000000" w14:paraId="0000002D">
      <w:pPr>
        <w:pStyle w:val="Heading2"/>
        <w:keepNext w:val="0"/>
        <w:keepLines w:val="0"/>
        <w:spacing w:after="1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Análise Técnica e Arquitetural</w:t>
      </w:r>
    </w:p>
    <w:p w:rsidR="00000000" w:rsidDel="00000000" w:rsidP="00000000" w:rsidRDefault="00000000" w:rsidRPr="00000000" w14:paraId="0000002E">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2.2.1. Arquitetura-Alvo: Data Lakehouse</w:t>
      </w:r>
      <w:r w:rsidDel="00000000" w:rsidR="00000000" w:rsidRPr="00000000">
        <w:rPr>
          <w:rtl w:val="0"/>
        </w:rPr>
      </w:r>
    </w:p>
    <w:p w:rsidR="00000000" w:rsidDel="00000000" w:rsidP="00000000" w:rsidRDefault="00000000" w:rsidRPr="00000000" w14:paraId="0000002F">
      <w:pPr>
        <w:spacing w:line="480" w:lineRule="auto"/>
        <w:rPr/>
      </w:pPr>
      <w:r w:rsidDel="00000000" w:rsidR="00000000" w:rsidRPr="00000000">
        <w:rPr>
          <w:rFonts w:ascii="Times New Roman" w:cs="Times New Roman" w:eastAsia="Times New Roman" w:hAnsi="Times New Roman"/>
          <w:sz w:val="24"/>
          <w:szCs w:val="24"/>
          <w:rtl w:val="0"/>
        </w:rPr>
        <w:t xml:space="preserve">O Data Warehouse impõe esquema na escrita, incompatível com 2TB+ de imagens e evolução de JSON. O Data Lake carece de ACID e consulta a versões anteriores. O Lakehouse (Armbrust et al., 2021) sobrepõe metadados transacionais (Iceberg) sobre armazenamento de objetos. Iceberg demonstra superioridade em evolução de esquema sem reescrita, particionamento oculto que abstrai a organização física e filtragem estatística capaz de eliminar parcela substancial de leituras desnecessárias (Jain et al., 2023). Okolnychyi et al. (2024) validam operações em nível de linha em escala de petabytes.</w:t>
      </w:r>
      <w:r w:rsidDel="00000000" w:rsidR="00000000" w:rsidRPr="00000000">
        <w:rPr>
          <w:rtl w:val="0"/>
        </w:rPr>
      </w:r>
    </w:p>
    <w:p w:rsidR="00000000" w:rsidDel="00000000" w:rsidP="00000000" w:rsidRDefault="00000000" w:rsidRPr="00000000" w14:paraId="00000030">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2.2.2. Ingestão Dual: Kappa e Continuous Close</w:t>
      </w:r>
      <w:r w:rsidDel="00000000" w:rsidR="00000000" w:rsidRPr="00000000">
        <w:rPr>
          <w:rtl w:val="0"/>
        </w:rPr>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Abordagem ELT com dois caminhos. O </w:t>
      </w:r>
      <w:r w:rsidDel="00000000" w:rsidR="00000000" w:rsidRPr="00000000">
        <w:rPr>
          <w:rFonts w:ascii="Times New Roman" w:cs="Times New Roman" w:eastAsia="Times New Roman" w:hAnsi="Times New Roman"/>
          <w:i w:val="1"/>
          <w:i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implementa Arquitetura Kappa (Kreps, 2014): eventos (~578 eps, picos ~2.900) publicados em Kafka com produtores idempotentes (Wang et al., 2021). Flink consome com garantia de processamento exatamente uma vez via pontos de verificação periódicos, gravando na camada Bronze em Parquet com Zstd (Collet, &amp; Kucherawy, 2021), que comprime ~35% melhor que Snappy.</w:t>
      </w:r>
    </w:p>
    <w:p w:rsidR="00000000" w:rsidDel="00000000" w:rsidP="00000000" w:rsidRDefault="00000000" w:rsidRPr="00000000" w14:paraId="0000003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caminho financeiro substitui D+1 por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intra-diário: quatro ciclos de seis horas via CDC. A janela evita o acúmulo de arquivos pequenos (ciclos menores degradariam leitura) e respeita liquidação de </w:t>
      </w:r>
      <w:r w:rsidDel="00000000" w:rsidR="00000000" w:rsidRPr="00000000">
        <w:rPr>
          <w:rFonts w:ascii="Times New Roman" w:cs="Times New Roman" w:eastAsia="Times New Roman" w:hAnsi="Times New Roman"/>
          <w:i w:val="1"/>
          <w:iCs w:val="1"/>
          <w:sz w:val="24"/>
          <w:szCs w:val="24"/>
          <w:rtl w:val="0"/>
        </w:rPr>
        <w:t xml:space="preserve">gateways</w:t>
      </w:r>
      <w:r w:rsidDel="00000000" w:rsidR="00000000" w:rsidRPr="00000000">
        <w:rPr>
          <w:rFonts w:ascii="Times New Roman" w:cs="Times New Roman" w:eastAsia="Times New Roman" w:hAnsi="Times New Roman"/>
          <w:sz w:val="24"/>
          <w:szCs w:val="24"/>
          <w:rtl w:val="0"/>
        </w:rPr>
        <w:t xml:space="preserve"> (4-8h). A TechGrowth migra de D+1 para D+0,25 (redução de 75%). Idempotência em três camadas: produtor Kafka, confirmação em duas fases do Flink, e deduplicação natural do Iceberg na leitura.</w:t>
      </w:r>
    </w:p>
    <w:p w:rsidR="00000000" w:rsidDel="00000000" w:rsidP="00000000" w:rsidRDefault="00000000" w:rsidRPr="00000000" w14:paraId="00000033">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2.2.3. Medallion, Catálogo e Contratos de Dados</w:t>
      </w:r>
      <w:r w:rsidDel="00000000" w:rsidR="00000000" w:rsidRPr="00000000">
        <w:rPr>
          <w:rtl w:val="0"/>
        </w:rPr>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Bronze armazena dados brutos para auditoria. Silver aplica limpeza: datas ISO 8601, moeda BRL em centavos inteiros, </w:t>
      </w:r>
      <w:r w:rsidDel="00000000" w:rsidR="00000000" w:rsidRPr="00000000">
        <w:rPr>
          <w:rFonts w:ascii="Times New Roman" w:cs="Times New Roman" w:eastAsia="Times New Roman" w:hAnsi="Times New Roman"/>
          <w:i w:val="1"/>
          <w:iCs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via Z-score (|Z|&gt;3 vão para quarentena sem descarte), nulos com valores reservados documentados. Gold contém agregações de negócio. Contratos de dados (esquemas Protobuf versionados) validados na compilação e em tempo de execução; violações vão para filas de erros. Catálogo Apache DataHub habilita descoberta e linhagem ponta a ponta.</w:t>
      </w:r>
    </w:p>
    <w:p w:rsidR="00000000" w:rsidDel="00000000" w:rsidP="00000000" w:rsidRDefault="00000000" w:rsidRPr="00000000" w14:paraId="00000035">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2.2.4. Qualidade: Cinco Regras Verificáveis</w:t>
      </w:r>
      <w:r w:rsidDel="00000000" w:rsidR="00000000" w:rsidRPr="00000000">
        <w:rPr>
          <w:rtl w:val="0"/>
        </w:rPr>
      </w:r>
    </w:p>
    <w:p w:rsidR="00000000" w:rsidDel="00000000" w:rsidP="00000000" w:rsidRDefault="00000000" w:rsidRPr="00000000" w14:paraId="0000003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padrão de disjuntores (Uttamchandani, 2018) aplica o conceito de disjuntor elétrico: quando uma métrica viola seu limiar, o circuito abre e impede propagação de dados corrompidos. A Tabela 1 apresenta as cinco regras.</w:t>
      </w:r>
    </w:p>
    <w:p w:rsidR="00000000" w:rsidDel="00000000" w:rsidP="00000000" w:rsidRDefault="00000000" w:rsidRPr="00000000" w14:paraId="00000037">
      <w:pPr>
        <w:spacing w:after="200" w:before="6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Tabela 1 — Regras de Qualidade Verificáveis com Disjuntores Automatizados.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1200"/>
        <w:gridCol w:w="2160"/>
        <w:gridCol w:w="2600"/>
        <w:tblGridChange w:id="0">
          <w:tblGrid>
            <w:gridCol w:w="1200"/>
            <w:gridCol w:w="2200"/>
            <w:gridCol w:w="1200"/>
            <w:gridCol w:w="2160"/>
            <w:gridCol w:w="2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Regra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Métrica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Monitoramento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Circuit Breaker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spacing w:line="48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R1 Completude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spacing w:line="48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de order_id, customer_id, total_amount não-nulos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spacing w:line="480" w:lineRule="auto"/>
              <w:jc w:val="center"/>
              <w:rPr>
                <w:rFonts w:ascii="Times New Roman" w:cs="Times New Roman" w:eastAsia="Times New Roman" w:hAnsi="Times New Roman"/>
                <w:sz w:val="20"/>
                <w:szCs w:val="20"/>
                <w:highlight w:val="white"/>
              </w:rPr>
            </w:pPr>
            <w:r w:rsidDel="00000000" w:rsidR="00000000" w:rsidRPr="00000000">
              <w:rPr>
                <w:rFonts w:ascii="Gungsuh" w:cs="Gungsuh" w:eastAsia="Gungsuh" w:hAnsi="Gungsuh"/>
                <w:sz w:val="20"/>
                <w:szCs w:val="20"/>
                <w:highlight w:val="white"/>
                <w:rtl w:val="0"/>
              </w:rPr>
              <w:t xml:space="preserve">≥ 99,5%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line="48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Great Expectations por micro-batch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spacing w:line="480" w:lineRule="auto"/>
              <w:rPr>
                <w:rFonts w:ascii="Times New Roman" w:cs="Times New Roman" w:eastAsia="Times New Roman" w:hAnsi="Times New Roman"/>
                <w:sz w:val="20"/>
                <w:szCs w:val="20"/>
                <w:highlight w:val="white"/>
              </w:rPr>
            </w:pPr>
            <w:r w:rsidDel="00000000" w:rsidR="00000000" w:rsidRPr="00000000">
              <w:rPr>
                <w:rFonts w:ascii="Cardo" w:cs="Cardo" w:eastAsia="Cardo" w:hAnsi="Cardo"/>
                <w:sz w:val="20"/>
                <w:szCs w:val="20"/>
                <w:highlight w:val="white"/>
                <w:rtl w:val="0"/>
              </w:rPr>
              <w:t xml:space="preserve">Bloqueio promoção Bronze→Silver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 Unicidade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order_id duplicados por partição diária</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Constraint Iceberg pós-ingestão</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Reprocessamento com deduplicação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R3 Integridade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session_id em conversões presentes na tabela de sessões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spacing w:line="48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99,0%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spacing w:line="48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Validação cross-table Silver→Gold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 P1 + quarentena do lote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R4 Freshness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now() - max(event_timestamp) por tópico</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spacing w:line="480" w:lineRule="auto"/>
              <w:jc w:val="cente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 5min / 6h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SLI em Prometheus/Grafana</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Auto-scaling consumers Flink</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R5 Schema</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eventos validados pelo Data Contract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spacing w:line="4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Compile-time + runtime via registry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spacing w:line="48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Rejeição para dead-letter queue</w:t>
            </w:r>
          </w:p>
        </w:tc>
      </w:tr>
    </w:tbl>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2.2.5. Governança, LGPD e Crypto-Shredding</w:t>
      </w:r>
      <w:r w:rsidDel="00000000" w:rsidR="00000000" w:rsidRPr="00000000">
        <w:rPr>
          <w:rtl w:val="0"/>
        </w:rPr>
      </w:r>
    </w:p>
    <w:p w:rsidR="00000000" w:rsidDel="00000000" w:rsidP="00000000" w:rsidRDefault="00000000" w:rsidRPr="00000000" w14:paraId="0000005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Arquitetura </w:t>
      </w:r>
      <w:r w:rsidDel="00000000" w:rsidR="00000000" w:rsidRPr="00000000">
        <w:rPr>
          <w:rFonts w:ascii="Times New Roman" w:cs="Times New Roman" w:eastAsia="Times New Roman" w:hAnsi="Times New Roman"/>
          <w:i w:val="1"/>
          <w:iCs w:val="1"/>
          <w:sz w:val="24"/>
          <w:szCs w:val="24"/>
          <w:rtl w:val="0"/>
        </w:rPr>
        <w:t xml:space="preserve">Zero Trust</w:t>
      </w:r>
      <w:r w:rsidDel="00000000" w:rsidR="00000000" w:rsidRPr="00000000">
        <w:rPr>
          <w:rFonts w:ascii="Times New Roman" w:cs="Times New Roman" w:eastAsia="Times New Roman" w:hAnsi="Times New Roman"/>
          <w:sz w:val="24"/>
          <w:szCs w:val="24"/>
          <w:rtl w:val="0"/>
        </w:rPr>
        <w:t xml:space="preserve"> (NIST SP 800-207, Rose et al., 2020): toda requisição exige autenticação granular. RBAC por perfil: Analista BI acessa Gold mascarado, Cientista acessa Silver pseudonimizado, Engenheiro acessa tudo com auditoria. ABAC por classificação de sensibilidade. Controles DLP contra exfiltração.</w:t>
      </w:r>
    </w:p>
    <w:p w:rsidR="00000000" w:rsidDel="00000000" w:rsidP="00000000" w:rsidRDefault="00000000" w:rsidRPr="00000000" w14:paraId="00000059">
      <w:pPr>
        <w:spacing w:line="480" w:lineRule="auto"/>
        <w:rPr/>
      </w:pPr>
      <w:r w:rsidDel="00000000" w:rsidR="00000000" w:rsidRPr="00000000">
        <w:rPr>
          <w:rFonts w:ascii="Times New Roman" w:cs="Times New Roman" w:eastAsia="Times New Roman" w:hAnsi="Times New Roman"/>
          <w:sz w:val="24"/>
          <w:szCs w:val="24"/>
          <w:rtl w:val="0"/>
        </w:rPr>
        <w:t xml:space="preserve">Criptografia AES-128-GCM em envelope: cada campo sensível é cifrado com uma chave de dados (DEK) por cliente, protegida por chave-mestra em KMS. Em ambientes com aceleração AES-NI, AES-128-GCM tende a impor menor custo computacional do que alternativas mais pesadas; por isso, foi adotado como compromisso entre segurança e desempenho. A destruição criptográfica elimina a DEK no KMS, tornando os dados irrecuperáveis e compatíveis com o princípio de eliminação lógica previsto no NIST SP 800-88 Rev. 2 (Chandramouli &amp; Hibbard, 2025). mTLS protege o trânsito. Retenção: cinco anos para dados financeiros, dois anos para navegação, com expurgo automatizado.</w:t>
      </w:r>
      <w:r w:rsidDel="00000000" w:rsidR="00000000" w:rsidRPr="00000000">
        <w:rPr>
          <w:rtl w:val="0"/>
        </w:rPr>
      </w:r>
    </w:p>
    <w:p w:rsidR="00000000" w:rsidDel="00000000" w:rsidP="00000000" w:rsidRDefault="00000000" w:rsidRPr="00000000" w14:paraId="0000005A">
      <w:pPr>
        <w:spacing w:after="80" w:before="16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2.2.6. Custo, Operação e Riscos</w:t>
      </w:r>
      <w:r w:rsidDel="00000000" w:rsidR="00000000" w:rsidRPr="00000000">
        <w:rPr>
          <w:rtl w:val="0"/>
        </w:rPr>
      </w:r>
    </w:p>
    <w:p w:rsidR="00000000" w:rsidDel="00000000" w:rsidP="00000000" w:rsidRDefault="00000000" w:rsidRPr="00000000" w14:paraId="0000005B">
      <w:pPr>
        <w:spacing w:line="480" w:lineRule="auto"/>
        <w:rPr/>
      </w:pPr>
      <w:r w:rsidDel="00000000" w:rsidR="00000000" w:rsidRPr="00000000">
        <w:rPr>
          <w:rFonts w:ascii="Times New Roman" w:cs="Times New Roman" w:eastAsia="Times New Roman" w:hAnsi="Times New Roman"/>
          <w:sz w:val="24"/>
          <w:szCs w:val="24"/>
          <w:rtl w:val="0"/>
        </w:rPr>
        <w:t xml:space="preserve">Custo classificado como médio e complexidade operacional classificada como alta: Kafka gerenciado (~40%), Flink (~30%), armazenamento (~15%, reduzido por compressão Zstd) e componentes complementares (~15%). Em comparação com plataformas proprietárias totalmente gerenciadas, projeta-se custo inferior porque a separação entre armazenamento e computação permite escalar cada camada independentemente (FinOps Foundation, 2025). Orquestração via DAGs Airflow com retentativas idempotentes. Reprocessamento via versões anteriores do Iceberg (sete dias). Ambientes dev/staging/prod via Terraform, com dados não produtivos mascarados. SLO analítico mensal: 99,0% de disponibilidade, equivalente a error budget de aproximadamente 0,72 hora por mês. SLIs primários: atraso de ingestão, taxa de sucesso por job, tempo até recuperação e volume de eventos em dead-letter queue. Observabilidade: métricas Prometheus, registros com rastreamento distribuído, alertas com escalação e detecção de anomalias por Z-score.</w:t>
      </w:r>
      <w:r w:rsidDel="00000000" w:rsidR="00000000" w:rsidRPr="00000000">
        <w:rPr>
          <w:rtl w:val="0"/>
        </w:rPr>
      </w:r>
    </w:p>
    <w:p w:rsidR="00000000" w:rsidDel="00000000" w:rsidP="00000000" w:rsidRDefault="00000000" w:rsidRPr="00000000" w14:paraId="0000005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Riscos: (i) dependência de fornecedor — formatos abertos (Iceberg, Parquet, Avro); (ii) vazamento PII — DLP + mascaramento + </w:t>
      </w:r>
      <w:r w:rsidDel="00000000" w:rsidR="00000000" w:rsidRPr="00000000">
        <w:rPr>
          <w:rFonts w:ascii="Times New Roman" w:cs="Times New Roman" w:eastAsia="Times New Roman" w:hAnsi="Times New Roman"/>
          <w:i w:val="1"/>
          <w:iCs w:val="1"/>
          <w:sz w:val="24"/>
          <w:szCs w:val="24"/>
          <w:rtl w:val="0"/>
        </w:rPr>
        <w:t xml:space="preserve">crypto-shredding</w:t>
      </w:r>
      <w:r w:rsidDel="00000000" w:rsidR="00000000" w:rsidRPr="00000000">
        <w:rPr>
          <w:rFonts w:ascii="Times New Roman" w:cs="Times New Roman" w:eastAsia="Times New Roman" w:hAnsi="Times New Roman"/>
          <w:sz w:val="24"/>
          <w:szCs w:val="24"/>
          <w:rtl w:val="0"/>
        </w:rPr>
        <w:t xml:space="preserve">; (iii) falha de </w:t>
      </w:r>
      <w:r w:rsidDel="00000000" w:rsidR="00000000" w:rsidRPr="00000000">
        <w:rPr>
          <w:rFonts w:ascii="Times New Roman" w:cs="Times New Roman" w:eastAsia="Times New Roman" w:hAnsi="Times New Roman"/>
          <w:i w:val="1"/>
          <w:iCs w:val="1"/>
          <w:sz w:val="24"/>
          <w:szCs w:val="24"/>
          <w:rtl w:val="0"/>
        </w:rPr>
        <w:t xml:space="preserve">pipeline</w:t>
      </w:r>
      <w:r w:rsidDel="00000000" w:rsidR="00000000" w:rsidRPr="00000000">
        <w:rPr>
          <w:rFonts w:ascii="Times New Roman" w:cs="Times New Roman" w:eastAsia="Times New Roman" w:hAnsi="Times New Roman"/>
          <w:sz w:val="24"/>
          <w:szCs w:val="24"/>
          <w:rtl w:val="0"/>
        </w:rPr>
        <w:t xml:space="preserve"> — arquitetura celular com distribuição aleatória de dependências (MacCárthaigh, 2019): com 50 células e dependência de 2 por domínio, existem 1.225 combinações, reduzindo a probabilidade de impacto compartilhado a &lt;0,08% (AWS, 2024); (iv) inconsistência entre camadas — contratos de dados com disjuntores.</w:t>
      </w:r>
    </w:p>
    <w:p w:rsidR="00000000" w:rsidDel="00000000" w:rsidP="00000000" w:rsidRDefault="00000000" w:rsidRPr="00000000" w14:paraId="0000005D">
      <w:pPr>
        <w:pStyle w:val="Heading2"/>
        <w:keepNext w:val="0"/>
        <w:keepLines w:val="0"/>
        <w:spacing w:after="100" w:before="20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Discussão</w:t>
      </w:r>
    </w:p>
    <w:p w:rsidR="00000000" w:rsidDel="00000000" w:rsidP="00000000" w:rsidRDefault="00000000" w:rsidRPr="00000000" w14:paraId="0000005E">
      <w:pPr>
        <w:spacing w:line="480" w:lineRule="auto"/>
        <w:rPr/>
      </w:pPr>
      <w:r w:rsidDel="00000000" w:rsidR="00000000" w:rsidRPr="00000000">
        <w:rPr>
          <w:rFonts w:ascii="Times New Roman" w:cs="Times New Roman" w:eastAsia="Times New Roman" w:hAnsi="Times New Roman"/>
          <w:sz w:val="24"/>
          <w:szCs w:val="24"/>
          <w:rtl w:val="0"/>
        </w:rPr>
        <w:t xml:space="preserve">O teorema PACELC (Abadi, 2012) formaliza os compromissos: durante partições, escolhe-se disponibilidade ou consistência; caso contrário, latência ou consistência. Um Data Warehouse proprietário não foi escolhido porque acopla armazenamento e computação, amplia lock-in e reduz flexibilidade para imagens e JSON semiestruturado. A Arquitetura Kappa foi preferida à Lambda porque evita duplicidade de lógica entre batch e streaming, reduz superfícies de falha e simplifica a reconciliação operacional. No streaming (PA/EL), painéis podem exibir defasagem de segundos durante partições. No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(PC/EC), a priorização recai sobre a consistência forte exigida pelos registros financeiros. O mecanismo </w:t>
      </w:r>
      <w:r w:rsidDel="00000000" w:rsidR="00000000" w:rsidRPr="00000000">
        <w:rPr>
          <w:rFonts w:ascii="Times New Roman" w:cs="Times New Roman" w:eastAsia="Times New Roman" w:hAnsi="Times New Roman"/>
          <w:i w:val="1"/>
          <w:iCs w:val="1"/>
          <w:sz w:val="24"/>
          <w:szCs w:val="24"/>
          <w:rtl w:val="0"/>
        </w:rPr>
        <w:t xml:space="preserve">merge-on-read</w:t>
      </w:r>
      <w:r w:rsidDel="00000000" w:rsidR="00000000" w:rsidRPr="00000000">
        <w:rPr>
          <w:rFonts w:ascii="Times New Roman" w:cs="Times New Roman" w:eastAsia="Times New Roman" w:hAnsi="Times New Roman"/>
          <w:sz w:val="24"/>
          <w:szCs w:val="24"/>
          <w:rtl w:val="0"/>
        </w:rPr>
        <w:t xml:space="preserve"> do Iceberg desloca o ônus para a leitura; tal efeito é mitigado por compactação periódica e reordenação física baseada em colunas filtradas, reduzindo a penalidade operacional a patamares aceitáveis.</w:t>
      </w:r>
      <w:r w:rsidDel="00000000" w:rsidR="00000000" w:rsidRPr="00000000">
        <w:rPr>
          <w:rtl w:val="0"/>
        </w:rPr>
      </w:r>
    </w:p>
    <w:p w:rsidR="00000000" w:rsidDel="00000000" w:rsidP="00000000" w:rsidRDefault="00000000" w:rsidRPr="00000000" w14:paraId="0000005F">
      <w:pPr>
        <w:spacing w:line="480" w:lineRule="auto"/>
        <w:ind w:firstLine="720"/>
        <w:jc w:val="both"/>
        <w:rPr/>
      </w:pPr>
      <w:r w:rsidDel="00000000" w:rsidR="00000000" w:rsidRPr="00000000">
        <w:rPr>
          <w:rFonts w:ascii="Gungsuh" w:cs="Gungsuh" w:eastAsia="Gungsuh" w:hAnsi="Gungsuh"/>
          <w:sz w:val="24"/>
          <w:szCs w:val="24"/>
          <w:rtl w:val="0"/>
        </w:rPr>
        <w:t xml:space="preserve">A Simulação de Eventos Discretos (Flores, 2026) consolidou a evidência empírica: 191.317 eventos processados com 100% de conformidade com os SLAs sob estresse de 5.800 eps. A injeção de duas partições de rede elevou o P99 da célula afetada em 16% (3.206 ms vs. 2.764 ms na média global), mantendo, contudo, a integridade total. O isolamento celular restringiu o impacto a 58 eventos (0,03%). A Lei de Little (1961) foi verificada (L ≈ 7.058 eventos simultâneos), sustentada por 140 consumidores. O detalhamento metodológico, artefatos experimentais e validações gráficas estão disponíveis como material suplementar reprodutível (Flores, 2026).</w:t>
      </w:r>
      <w:r w:rsidDel="00000000" w:rsidR="00000000" w:rsidRPr="00000000">
        <w:rPr>
          <w:rtl w:val="0"/>
        </w:rPr>
      </w:r>
    </w:p>
    <w:p w:rsidR="00000000" w:rsidDel="00000000" w:rsidP="00000000" w:rsidRDefault="00000000" w:rsidRPr="00000000" w14:paraId="00000060">
      <w:pPr>
        <w:pStyle w:val="Heading1"/>
        <w:keepNext w:val="0"/>
        <w:keepLines w:val="0"/>
        <w:spacing w:before="24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Considerações Finais</w:t>
      </w:r>
    </w:p>
    <w:p w:rsidR="00000000" w:rsidDel="00000000" w:rsidP="00000000" w:rsidRDefault="00000000" w:rsidRPr="00000000" w14:paraId="0000006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arquitetura </w:t>
      </w:r>
      <w:r w:rsidDel="00000000" w:rsidR="00000000" w:rsidRPr="00000000">
        <w:rPr>
          <w:rFonts w:ascii="Times New Roman" w:cs="Times New Roman" w:eastAsia="Times New Roman" w:hAnsi="Times New Roman"/>
          <w:i w:val="1"/>
          <w:iCs w:val="1"/>
          <w:sz w:val="24"/>
          <w:szCs w:val="24"/>
          <w:rtl w:val="0"/>
        </w:rPr>
        <w:t xml:space="preserve">Data Lakehouse</w:t>
      </w:r>
      <w:r w:rsidDel="00000000" w:rsidR="00000000" w:rsidRPr="00000000">
        <w:rPr>
          <w:rFonts w:ascii="Times New Roman" w:cs="Times New Roman" w:eastAsia="Times New Roman" w:hAnsi="Times New Roman"/>
          <w:sz w:val="24"/>
          <w:szCs w:val="24"/>
          <w:rtl w:val="0"/>
        </w:rPr>
        <w:t xml:space="preserve"> sobre Apache Iceberg, com ingestão dual Kappa e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resolve as três questões da TechGrowth. A lucratividade real é viabilizada pela conciliação financeira na camada Gold com contratos de dados; o </w:t>
      </w:r>
      <w:r w:rsidDel="00000000" w:rsidR="00000000" w:rsidRPr="00000000">
        <w:rPr>
          <w:rFonts w:ascii="Times New Roman" w:cs="Times New Roman" w:eastAsia="Times New Roman" w:hAnsi="Times New Roman"/>
          <w:i w:val="1"/>
          <w:iCs w:val="1"/>
          <w:sz w:val="24"/>
          <w:szCs w:val="24"/>
          <w:rtl w:val="0"/>
        </w:rPr>
        <w:t xml:space="preserve">Continuous Close</w:t>
      </w:r>
      <w:r w:rsidDel="00000000" w:rsidR="00000000" w:rsidRPr="00000000">
        <w:rPr>
          <w:rFonts w:ascii="Times New Roman" w:cs="Times New Roman" w:eastAsia="Times New Roman" w:hAnsi="Times New Roman"/>
          <w:sz w:val="24"/>
          <w:szCs w:val="24"/>
          <w:rtl w:val="0"/>
        </w:rPr>
        <w:t xml:space="preserve"> reduz visibilidade de D+1 para D+0,25 (75%). A mensuração do funil é habilitada pelo </w:t>
      </w:r>
      <w:r w:rsidDel="00000000" w:rsidR="00000000" w:rsidRPr="00000000">
        <w:rPr>
          <w:rFonts w:ascii="Times New Roman" w:cs="Times New Roman" w:eastAsia="Times New Roman" w:hAnsi="Times New Roman"/>
          <w:i w:val="1"/>
          <w:iCs w:val="1"/>
          <w:sz w:val="24"/>
          <w:szCs w:val="24"/>
          <w:rtl w:val="0"/>
        </w:rPr>
        <w:t xml:space="preserve">streaming</w:t>
      </w:r>
      <w:r w:rsidDel="00000000" w:rsidR="00000000" w:rsidRPr="00000000">
        <w:rPr>
          <w:rFonts w:ascii="Times New Roman" w:cs="Times New Roman" w:eastAsia="Times New Roman" w:hAnsi="Times New Roman"/>
          <w:sz w:val="24"/>
          <w:szCs w:val="24"/>
          <w:rtl w:val="0"/>
        </w:rPr>
        <w:t xml:space="preserve"> com latência inferior a cinco minutos, validada pela simulação (Flores, 2026): 191.317 eventos, 100% SLA, duas partições PACELC com isolamento celular. A previsão de demanda é sustentada pela disponibilidade de 99,0% e pelas cinco regras de qualidade com disjuntores.</w:t>
      </w:r>
    </w:p>
    <w:p w:rsidR="00000000" w:rsidDel="00000000" w:rsidP="00000000" w:rsidRDefault="00000000" w:rsidRPr="00000000" w14:paraId="00000062">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conformidade LGPD sobre Parquet imutável é garantida pela destruição criptográfica de chaves por cliente, eliminando a tensão entre imutabilidade analítica e direito de eliminação. A Lei de Conway (1968), validada por MacCormack, Baldwin, e Rusnak (2012), revela que silos de comunicação geram silos de dados; por isso, a arquitetura proposta requer alinhamento entre domínios, governança e modularidade operacional: equipes por domínio produzem, </w:t>
      </w:r>
      <w:r w:rsidDel="00000000" w:rsidR="00000000" w:rsidRPr="00000000">
        <w:rPr>
          <w:rFonts w:ascii="Times New Roman" w:cs="Times New Roman" w:eastAsia="Times New Roman" w:hAnsi="Times New Roman"/>
          <w:i w:val="1"/>
          <w:iCs w:val="1"/>
          <w:sz w:val="24"/>
          <w:szCs w:val="24"/>
          <w:rtl w:val="0"/>
        </w:rPr>
        <w:t xml:space="preserve">ceteris paribus</w:t>
      </w:r>
      <w:r w:rsidDel="00000000" w:rsidR="00000000" w:rsidRPr="00000000">
        <w:rPr>
          <w:rFonts w:ascii="Times New Roman" w:cs="Times New Roman" w:eastAsia="Times New Roman" w:hAnsi="Times New Roman"/>
          <w:sz w:val="24"/>
          <w:szCs w:val="24"/>
          <w:rtl w:val="0"/>
        </w:rPr>
        <w:t xml:space="preserve">, arquiteturas modulares. O equilíbrio entre inovação, riscos e maturidade é o desafio contínuo da gestão de plataformas de dados.</w:t>
      </w:r>
    </w:p>
    <w:p w:rsidR="00000000" w:rsidDel="00000000" w:rsidP="00000000" w:rsidRDefault="00000000" w:rsidRPr="00000000" w14:paraId="0000006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Direções futuras: (i) simulação com múltiplas repetições e intervalos de confiança de 95%; (ii) análise de sensibilidade paramétrica; (iii) criptografia pós-quântica. O teorema PACELC (Abadi, 2012) garante que perfeição é inatingível em sistemas distribuídos; a arquitetura proposta representa o equilíbrio ótimo validado por evidência empírica reprodutível.</w:t>
      </w:r>
    </w:p>
    <w:p w:rsidR="00000000" w:rsidDel="00000000" w:rsidP="00000000" w:rsidRDefault="00000000" w:rsidRPr="00000000" w14:paraId="00000064">
      <w:pPr>
        <w:pStyle w:val="Heading1"/>
        <w:pageBreakBefore w:val="1"/>
        <w:spacing w:before="240" w:line="480" w:lineRule="auto"/>
        <w:jc w:val="center"/>
        <w:rPr/>
      </w:pPr>
      <w:bookmarkStart w:colFirst="0" w:colLast="0" w:name="_7jmf1qcl2acy" w:id="0"/>
      <w:bookmarkEnd w:id="0"/>
      <w:r w:rsidDel="00000000" w:rsidR="00000000" w:rsidRPr="00000000">
        <w:rPr>
          <w:rFonts w:ascii="Times New Roman" w:cs="Times New Roman" w:eastAsia="Times New Roman" w:hAnsi="Times New Roman"/>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065">
      <w:pPr>
        <w:spacing w:line="480" w:lineRule="auto"/>
        <w:ind w:left="720"/>
        <w:rPr/>
      </w:pPr>
      <w:r w:rsidDel="00000000" w:rsidR="00000000" w:rsidRPr="00000000">
        <w:rPr>
          <w:rFonts w:ascii="Times New Roman" w:cs="Times New Roman" w:eastAsia="Times New Roman" w:hAnsi="Times New Roman"/>
          <w:sz w:val="24"/>
          <w:szCs w:val="24"/>
          <w:rtl w:val="0"/>
        </w:rPr>
        <w:t xml:space="preserve">Abadi, D. J. (2012). Consistency tradeoffs in modern distributed database system design: CAP is only part of the story. </w:t>
      </w:r>
      <w:r w:rsidDel="00000000" w:rsidR="00000000" w:rsidRPr="00000000">
        <w:rPr>
          <w:rFonts w:ascii="Times New Roman" w:cs="Times New Roman" w:eastAsia="Times New Roman" w:hAnsi="Times New Roman"/>
          <w:i w:val="1"/>
          <w:iCs w:val="1"/>
          <w:sz w:val="24"/>
          <w:szCs w:val="24"/>
          <w:rtl w:val="0"/>
        </w:rPr>
        <w:t xml:space="preserve">IEEE Computer</w:t>
      </w:r>
      <w:r w:rsidDel="00000000" w:rsidR="00000000" w:rsidRPr="00000000">
        <w:rPr>
          <w:rFonts w:ascii="Times New Roman" w:cs="Times New Roman" w:eastAsia="Times New Roman" w:hAnsi="Times New Roman"/>
          <w:sz w:val="24"/>
          <w:szCs w:val="24"/>
          <w:rtl w:val="0"/>
        </w:rPr>
        <w:t xml:space="preserve">, 45(2), 37-42. https://doi.org/10.1109/MC.2012.33</w:t>
      </w:r>
      <w:r w:rsidDel="00000000" w:rsidR="00000000" w:rsidRPr="00000000">
        <w:rPr>
          <w:rtl w:val="0"/>
        </w:rPr>
      </w:r>
    </w:p>
    <w:p w:rsidR="00000000" w:rsidDel="00000000" w:rsidP="00000000" w:rsidRDefault="00000000" w:rsidRPr="00000000" w14:paraId="00000066">
      <w:pPr>
        <w:spacing w:line="480" w:lineRule="auto"/>
        <w:ind w:left="720"/>
        <w:rPr/>
      </w:pPr>
      <w:r w:rsidDel="00000000" w:rsidR="00000000" w:rsidRPr="00000000">
        <w:rPr>
          <w:rFonts w:ascii="Times New Roman" w:cs="Times New Roman" w:eastAsia="Times New Roman" w:hAnsi="Times New Roman"/>
          <w:sz w:val="24"/>
          <w:szCs w:val="24"/>
          <w:rtl w:val="0"/>
        </w:rPr>
        <w:t xml:space="preserve">Amazon Web Services. (2024). Reducing the scope of impact with cell-based architecture. </w:t>
      </w:r>
      <w:r w:rsidDel="00000000" w:rsidR="00000000" w:rsidRPr="00000000">
        <w:rPr>
          <w:rFonts w:ascii="Times New Roman" w:cs="Times New Roman" w:eastAsia="Times New Roman" w:hAnsi="Times New Roman"/>
          <w:i w:val="1"/>
          <w:iCs w:val="1"/>
          <w:sz w:val="24"/>
          <w:szCs w:val="24"/>
          <w:rtl w:val="0"/>
        </w:rPr>
        <w:t xml:space="preserve">AWS Well-Architected Framework</w:t>
      </w:r>
      <w:r w:rsidDel="00000000" w:rsidR="00000000" w:rsidRPr="00000000">
        <w:rPr>
          <w:rFonts w:ascii="Times New Roman" w:cs="Times New Roman" w:eastAsia="Times New Roman" w:hAnsi="Times New Roman"/>
          <w:sz w:val="24"/>
          <w:szCs w:val="24"/>
          <w:rtl w:val="0"/>
        </w:rPr>
        <w:t xml:space="preserve">. https://docs.aws.amazon.com/wellarchitected/latest/reducing-scope-of-impact-with-cell-based-architecture/</w:t>
      </w:r>
      <w:r w:rsidDel="00000000" w:rsidR="00000000" w:rsidRPr="00000000">
        <w:rPr>
          <w:rtl w:val="0"/>
        </w:rPr>
      </w:r>
    </w:p>
    <w:p w:rsidR="00000000" w:rsidDel="00000000" w:rsidP="00000000" w:rsidRDefault="00000000" w:rsidRPr="00000000" w14:paraId="00000067">
      <w:pPr>
        <w:spacing w:line="480" w:lineRule="auto"/>
        <w:ind w:left="720"/>
        <w:rPr/>
      </w:pPr>
      <w:r w:rsidDel="00000000" w:rsidR="00000000" w:rsidRPr="00000000">
        <w:rPr>
          <w:rFonts w:ascii="Times New Roman" w:cs="Times New Roman" w:eastAsia="Times New Roman" w:hAnsi="Times New Roman"/>
          <w:sz w:val="24"/>
          <w:szCs w:val="24"/>
          <w:rtl w:val="0"/>
        </w:rPr>
        <w:t xml:space="preserve">Armbrust, M., Ghodsi, A., Xin, R., &amp; Zaharia, M. (2021). Lakehouse: A new generation of open platforms that unify data warehousing and advanced analytics. </w:t>
      </w:r>
      <w:r w:rsidDel="00000000" w:rsidR="00000000" w:rsidRPr="00000000">
        <w:rPr>
          <w:rFonts w:ascii="Times New Roman" w:cs="Times New Roman" w:eastAsia="Times New Roman" w:hAnsi="Times New Roman"/>
          <w:i w:val="1"/>
          <w:iCs w:val="1"/>
          <w:sz w:val="24"/>
          <w:szCs w:val="24"/>
          <w:rtl w:val="0"/>
        </w:rPr>
        <w:t xml:space="preserve">Proceedings of the 11th CIDR</w:t>
      </w:r>
      <w:r w:rsidDel="00000000" w:rsidR="00000000" w:rsidRPr="00000000">
        <w:rPr>
          <w:rFonts w:ascii="Times New Roman" w:cs="Times New Roman" w:eastAsia="Times New Roman" w:hAnsi="Times New Roman"/>
          <w:sz w:val="24"/>
          <w:szCs w:val="24"/>
          <w:rtl w:val="0"/>
        </w:rPr>
        <w:t xml:space="preserve">. https://www.cidrdb.org/cidr2021/papers/cidr2021_paper17.pdf</w:t>
      </w:r>
      <w:r w:rsidDel="00000000" w:rsidR="00000000" w:rsidRPr="00000000">
        <w:rPr>
          <w:rtl w:val="0"/>
        </w:rPr>
      </w:r>
    </w:p>
    <w:p w:rsidR="00000000" w:rsidDel="00000000" w:rsidP="00000000" w:rsidRDefault="00000000" w:rsidRPr="00000000" w14:paraId="00000068">
      <w:pPr>
        <w:spacing w:line="480" w:lineRule="auto"/>
        <w:ind w:left="720"/>
        <w:rPr/>
      </w:pPr>
      <w:r w:rsidDel="00000000" w:rsidR="00000000" w:rsidRPr="00000000">
        <w:rPr>
          <w:rFonts w:ascii="Times New Roman" w:cs="Times New Roman" w:eastAsia="Times New Roman" w:hAnsi="Times New Roman"/>
          <w:sz w:val="24"/>
          <w:szCs w:val="24"/>
          <w:rtl w:val="0"/>
        </w:rPr>
        <w:t xml:space="preserve">Collet, Y., &amp; Kucherawy, M. S. (2021). Zstandard compression and the 'application/zstd' media type. </w:t>
      </w:r>
      <w:r w:rsidDel="00000000" w:rsidR="00000000" w:rsidRPr="00000000">
        <w:rPr>
          <w:rFonts w:ascii="Times New Roman" w:cs="Times New Roman" w:eastAsia="Times New Roman" w:hAnsi="Times New Roman"/>
          <w:i w:val="1"/>
          <w:iCs w:val="1"/>
          <w:sz w:val="24"/>
          <w:szCs w:val="24"/>
          <w:rtl w:val="0"/>
        </w:rPr>
        <w:t xml:space="preserve">IETF RFC 8878</w:t>
      </w:r>
      <w:r w:rsidDel="00000000" w:rsidR="00000000" w:rsidRPr="00000000">
        <w:rPr>
          <w:rFonts w:ascii="Times New Roman" w:cs="Times New Roman" w:eastAsia="Times New Roman" w:hAnsi="Times New Roman"/>
          <w:sz w:val="24"/>
          <w:szCs w:val="24"/>
          <w:rtl w:val="0"/>
        </w:rPr>
        <w:t xml:space="preserve">. https://www.rfc-editor.org/rfc/rfc8878.html</w:t>
      </w:r>
      <w:r w:rsidDel="00000000" w:rsidR="00000000" w:rsidRPr="00000000">
        <w:rPr>
          <w:rtl w:val="0"/>
        </w:rPr>
      </w:r>
    </w:p>
    <w:p w:rsidR="00000000" w:rsidDel="00000000" w:rsidP="00000000" w:rsidRDefault="00000000" w:rsidRPr="00000000" w14:paraId="00000069">
      <w:pPr>
        <w:spacing w:line="480" w:lineRule="auto"/>
        <w:ind w:left="720"/>
        <w:rPr/>
      </w:pPr>
      <w:r w:rsidDel="00000000" w:rsidR="00000000" w:rsidRPr="00000000">
        <w:rPr>
          <w:rFonts w:ascii="Times New Roman" w:cs="Times New Roman" w:eastAsia="Times New Roman" w:hAnsi="Times New Roman"/>
          <w:sz w:val="24"/>
          <w:szCs w:val="24"/>
          <w:rtl w:val="0"/>
        </w:rPr>
        <w:t xml:space="preserve">Conway, M. E. (1968). How do committees invent? </w:t>
      </w:r>
      <w:r w:rsidDel="00000000" w:rsidR="00000000" w:rsidRPr="00000000">
        <w:rPr>
          <w:rFonts w:ascii="Times New Roman" w:cs="Times New Roman" w:eastAsia="Times New Roman" w:hAnsi="Times New Roman"/>
          <w:i w:val="1"/>
          <w:iCs w:val="1"/>
          <w:sz w:val="24"/>
          <w:szCs w:val="24"/>
          <w:rtl w:val="0"/>
        </w:rPr>
        <w:t xml:space="preserve">Datamation</w:t>
      </w:r>
      <w:r w:rsidDel="00000000" w:rsidR="00000000" w:rsidRPr="00000000">
        <w:rPr>
          <w:rFonts w:ascii="Times New Roman" w:cs="Times New Roman" w:eastAsia="Times New Roman" w:hAnsi="Times New Roman"/>
          <w:sz w:val="24"/>
          <w:szCs w:val="24"/>
          <w:rtl w:val="0"/>
        </w:rPr>
        <w:t xml:space="preserve">, 14(4), 28-31. https://www.melconway.com/Home/Committees_Paper.html</w:t>
      </w:r>
      <w:r w:rsidDel="00000000" w:rsidR="00000000" w:rsidRPr="00000000">
        <w:rPr>
          <w:rtl w:val="0"/>
        </w:rPr>
      </w:r>
    </w:p>
    <w:p w:rsidR="00000000" w:rsidDel="00000000" w:rsidP="00000000" w:rsidRDefault="00000000" w:rsidRPr="00000000" w14:paraId="0000006A">
      <w:pPr>
        <w:spacing w:line="480" w:lineRule="auto"/>
        <w:ind w:left="720"/>
        <w:rPr/>
      </w:pPr>
      <w:r w:rsidDel="00000000" w:rsidR="00000000" w:rsidRPr="00000000">
        <w:rPr>
          <w:rFonts w:ascii="Times New Roman" w:cs="Times New Roman" w:eastAsia="Times New Roman" w:hAnsi="Times New Roman"/>
          <w:sz w:val="24"/>
          <w:szCs w:val="24"/>
          <w:rtl w:val="0"/>
        </w:rPr>
        <w:t xml:space="preserve">Dean, J., &amp; Barroso, L. A. (2013). The tail at scale. </w:t>
      </w:r>
      <w:r w:rsidDel="00000000" w:rsidR="00000000" w:rsidRPr="00000000">
        <w:rPr>
          <w:rFonts w:ascii="Times New Roman" w:cs="Times New Roman" w:eastAsia="Times New Roman" w:hAnsi="Times New Roman"/>
          <w:i w:val="1"/>
          <w:iCs w:val="1"/>
          <w:sz w:val="24"/>
          <w:szCs w:val="24"/>
          <w:rtl w:val="0"/>
        </w:rPr>
        <w:t xml:space="preserve">Communications of the ACM</w:t>
      </w:r>
      <w:r w:rsidDel="00000000" w:rsidR="00000000" w:rsidRPr="00000000">
        <w:rPr>
          <w:rFonts w:ascii="Times New Roman" w:cs="Times New Roman" w:eastAsia="Times New Roman" w:hAnsi="Times New Roman"/>
          <w:sz w:val="24"/>
          <w:szCs w:val="24"/>
          <w:rtl w:val="0"/>
        </w:rPr>
        <w:t xml:space="preserve">, 56(2), 74-80. https://doi.org/10.1145/2408776.2408794</w:t>
      </w:r>
      <w:r w:rsidDel="00000000" w:rsidR="00000000" w:rsidRPr="00000000">
        <w:rPr>
          <w:rtl w:val="0"/>
        </w:rPr>
      </w:r>
    </w:p>
    <w:p w:rsidR="00000000" w:rsidDel="00000000" w:rsidP="00000000" w:rsidRDefault="00000000" w:rsidRPr="00000000" w14:paraId="0000006B">
      <w:pPr>
        <w:spacing w:line="480" w:lineRule="auto"/>
        <w:ind w:left="720"/>
        <w:rPr/>
      </w:pPr>
      <w:r w:rsidDel="00000000" w:rsidR="00000000" w:rsidRPr="00000000">
        <w:rPr>
          <w:rFonts w:ascii="Times New Roman" w:cs="Times New Roman" w:eastAsia="Times New Roman" w:hAnsi="Times New Roman"/>
          <w:sz w:val="24"/>
          <w:szCs w:val="24"/>
          <w:rtl w:val="0"/>
        </w:rPr>
        <w:t xml:space="preserve">Dehghani, Z. (2022). </w:t>
      </w:r>
      <w:r w:rsidDel="00000000" w:rsidR="00000000" w:rsidRPr="00000000">
        <w:rPr>
          <w:rFonts w:ascii="Times New Roman" w:cs="Times New Roman" w:eastAsia="Times New Roman" w:hAnsi="Times New Roman"/>
          <w:i w:val="1"/>
          <w:iCs w:val="1"/>
          <w:sz w:val="24"/>
          <w:szCs w:val="24"/>
          <w:rtl w:val="0"/>
        </w:rPr>
        <w:t xml:space="preserve">Data mesh: Delivering data-driven value at scale</w:t>
      </w:r>
      <w:r w:rsidDel="00000000" w:rsidR="00000000" w:rsidRPr="00000000">
        <w:rPr>
          <w:rFonts w:ascii="Times New Roman" w:cs="Times New Roman" w:eastAsia="Times New Roman" w:hAnsi="Times New Roman"/>
          <w:sz w:val="24"/>
          <w:szCs w:val="24"/>
          <w:rtl w:val="0"/>
        </w:rPr>
        <w:t xml:space="preserve">. O’Reilly Media. ISBN: 978-1492092391.</w:t>
      </w:r>
      <w:r w:rsidDel="00000000" w:rsidR="00000000" w:rsidRPr="00000000">
        <w:rPr>
          <w:rtl w:val="0"/>
        </w:rPr>
      </w:r>
    </w:p>
    <w:p w:rsidR="00000000" w:rsidDel="00000000" w:rsidP="00000000" w:rsidRDefault="00000000" w:rsidRPr="00000000" w14:paraId="0000006C">
      <w:pPr>
        <w:spacing w:line="480" w:lineRule="auto"/>
        <w:ind w:left="720"/>
        <w:rPr/>
      </w:pPr>
      <w:r w:rsidDel="00000000" w:rsidR="00000000" w:rsidRPr="00000000">
        <w:rPr>
          <w:rFonts w:ascii="Times New Roman" w:cs="Times New Roman" w:eastAsia="Times New Roman" w:hAnsi="Times New Roman"/>
          <w:sz w:val="24"/>
          <w:szCs w:val="24"/>
          <w:rtl w:val="0"/>
        </w:rPr>
        <w:t xml:space="preserve">FinOps Foundation. (2025). </w:t>
      </w:r>
      <w:r w:rsidDel="00000000" w:rsidR="00000000" w:rsidRPr="00000000">
        <w:rPr>
          <w:rFonts w:ascii="Times New Roman" w:cs="Times New Roman" w:eastAsia="Times New Roman" w:hAnsi="Times New Roman"/>
          <w:i w:val="1"/>
          <w:iCs w:val="1"/>
          <w:sz w:val="24"/>
          <w:szCs w:val="24"/>
          <w:rtl w:val="0"/>
        </w:rPr>
        <w:t xml:space="preserve">FinOps framework</w:t>
      </w:r>
      <w:r w:rsidDel="00000000" w:rsidR="00000000" w:rsidRPr="00000000">
        <w:rPr>
          <w:rFonts w:ascii="Times New Roman" w:cs="Times New Roman" w:eastAsia="Times New Roman" w:hAnsi="Times New Roman"/>
          <w:sz w:val="24"/>
          <w:szCs w:val="24"/>
          <w:rtl w:val="0"/>
        </w:rPr>
        <w:t xml:space="preserve">. Linux Foundation. https://www.finops.org/framework/</w:t>
      </w:r>
      <w:r w:rsidDel="00000000" w:rsidR="00000000" w:rsidRPr="00000000">
        <w:rPr>
          <w:rtl w:val="0"/>
        </w:rPr>
      </w:r>
    </w:p>
    <w:p w:rsidR="00000000" w:rsidDel="00000000" w:rsidP="00000000" w:rsidRDefault="00000000" w:rsidRPr="00000000" w14:paraId="0000006D">
      <w:pPr>
        <w:spacing w:line="480" w:lineRule="auto"/>
        <w:ind w:left="720"/>
        <w:rPr/>
      </w:pPr>
      <w:r w:rsidDel="00000000" w:rsidR="00000000" w:rsidRPr="00000000">
        <w:rPr>
          <w:rFonts w:ascii="Times New Roman" w:cs="Times New Roman" w:eastAsia="Times New Roman" w:hAnsi="Times New Roman"/>
          <w:sz w:val="24"/>
          <w:szCs w:val="24"/>
          <w:rtl w:val="0"/>
        </w:rPr>
        <w:t xml:space="preserve">Flores, C. U. (2026). </w:t>
      </w:r>
      <w:r w:rsidDel="00000000" w:rsidR="00000000" w:rsidRPr="00000000">
        <w:rPr>
          <w:rFonts w:ascii="Times New Roman" w:cs="Times New Roman" w:eastAsia="Times New Roman" w:hAnsi="Times New Roman"/>
          <w:i w:val="1"/>
          <w:iCs w:val="1"/>
          <w:sz w:val="24"/>
          <w:szCs w:val="24"/>
          <w:rtl w:val="0"/>
        </w:rPr>
        <w:t xml:space="preserve">TechGrowth DES: Stochastic simulation of Kafka-Flink-Iceberg pipeline with PACELC network partition injection</w:t>
      </w:r>
      <w:r w:rsidDel="00000000" w:rsidR="00000000" w:rsidRPr="00000000">
        <w:rPr>
          <w:rFonts w:ascii="Times New Roman" w:cs="Times New Roman" w:eastAsia="Times New Roman" w:hAnsi="Times New Roman"/>
          <w:sz w:val="24"/>
          <w:szCs w:val="24"/>
          <w:rtl w:val="0"/>
        </w:rPr>
        <w:t xml:space="preserve">. Zenodo. https://doi.org/10.5281/zenodo.19244059</w:t>
      </w:r>
      <w:r w:rsidDel="00000000" w:rsidR="00000000" w:rsidRPr="00000000">
        <w:rPr>
          <w:rtl w:val="0"/>
        </w:rPr>
      </w:r>
    </w:p>
    <w:p w:rsidR="00000000" w:rsidDel="00000000" w:rsidP="00000000" w:rsidRDefault="00000000" w:rsidRPr="00000000" w14:paraId="0000006E">
      <w:pPr>
        <w:spacing w:line="480" w:lineRule="auto"/>
        <w:ind w:left="720"/>
        <w:rPr/>
      </w:pPr>
      <w:r w:rsidDel="00000000" w:rsidR="00000000" w:rsidRPr="00000000">
        <w:rPr>
          <w:rFonts w:ascii="Times New Roman" w:cs="Times New Roman" w:eastAsia="Times New Roman" w:hAnsi="Times New Roman"/>
          <w:sz w:val="24"/>
          <w:szCs w:val="24"/>
          <w:rtl w:val="0"/>
        </w:rPr>
        <w:t xml:space="preserve">Jain, P., Kraft, P., Power, C., Das, T., Stoica, I., &amp; Zaharia, M. (2023). Analyzing and comparing lakehouse storage systems. </w:t>
      </w:r>
      <w:r w:rsidDel="00000000" w:rsidR="00000000" w:rsidRPr="00000000">
        <w:rPr>
          <w:rFonts w:ascii="Times New Roman" w:cs="Times New Roman" w:eastAsia="Times New Roman" w:hAnsi="Times New Roman"/>
          <w:i w:val="1"/>
          <w:iCs w:val="1"/>
          <w:sz w:val="24"/>
          <w:szCs w:val="24"/>
          <w:rtl w:val="0"/>
        </w:rPr>
        <w:t xml:space="preserve">Proceedings of the 13th CIDR</w:t>
      </w:r>
      <w:r w:rsidDel="00000000" w:rsidR="00000000" w:rsidRPr="00000000">
        <w:rPr>
          <w:rFonts w:ascii="Times New Roman" w:cs="Times New Roman" w:eastAsia="Times New Roman" w:hAnsi="Times New Roman"/>
          <w:sz w:val="24"/>
          <w:szCs w:val="24"/>
          <w:rtl w:val="0"/>
        </w:rPr>
        <w:t xml:space="preserve">. https://www.cidrdb.org/cidr2023/papers/p92-jain.pdf</w:t>
      </w:r>
      <w:r w:rsidDel="00000000" w:rsidR="00000000" w:rsidRPr="00000000">
        <w:rPr>
          <w:rtl w:val="0"/>
        </w:rPr>
      </w:r>
    </w:p>
    <w:p w:rsidR="00000000" w:rsidDel="00000000" w:rsidP="00000000" w:rsidRDefault="00000000" w:rsidRPr="00000000" w14:paraId="0000006F">
      <w:pPr>
        <w:spacing w:line="480" w:lineRule="auto"/>
        <w:ind w:left="720"/>
        <w:rPr/>
      </w:pPr>
      <w:r w:rsidDel="00000000" w:rsidR="00000000" w:rsidRPr="00000000">
        <w:rPr>
          <w:rFonts w:ascii="Times New Roman" w:cs="Times New Roman" w:eastAsia="Times New Roman" w:hAnsi="Times New Roman"/>
          <w:sz w:val="24"/>
          <w:szCs w:val="24"/>
          <w:rtl w:val="0"/>
        </w:rPr>
        <w:t xml:space="preserve">Chandramouli, R., &amp; Hibbard, E. (2025). Guidelines for media sanitization (NIST SP 800-88 Rev. 2). </w:t>
      </w:r>
      <w:r w:rsidDel="00000000" w:rsidR="00000000" w:rsidRPr="00000000">
        <w:rPr>
          <w:rFonts w:ascii="Times New Roman" w:cs="Times New Roman" w:eastAsia="Times New Roman" w:hAnsi="Times New Roman"/>
          <w:i w:val="1"/>
          <w:iCs w:val="1"/>
          <w:sz w:val="24"/>
          <w:szCs w:val="24"/>
          <w:rtl w:val="0"/>
        </w:rPr>
        <w:t xml:space="preserve">National Institute of Standards and Technology</w:t>
      </w:r>
      <w:r w:rsidDel="00000000" w:rsidR="00000000" w:rsidRPr="00000000">
        <w:rPr>
          <w:rFonts w:ascii="Times New Roman" w:cs="Times New Roman" w:eastAsia="Times New Roman" w:hAnsi="Times New Roman"/>
          <w:sz w:val="24"/>
          <w:szCs w:val="24"/>
          <w:rtl w:val="0"/>
        </w:rPr>
        <w:t xml:space="preserve">. https://doi.org/10.6028/NIST.SP.800-88r2</w:t>
      </w:r>
      <w:r w:rsidDel="00000000" w:rsidR="00000000" w:rsidRPr="00000000">
        <w:rPr>
          <w:rtl w:val="0"/>
        </w:rPr>
      </w:r>
    </w:p>
    <w:p w:rsidR="00000000" w:rsidDel="00000000" w:rsidP="00000000" w:rsidRDefault="00000000" w:rsidRPr="00000000" w14:paraId="00000070">
      <w:pPr>
        <w:spacing w:line="480" w:lineRule="auto"/>
        <w:ind w:left="720"/>
        <w:rPr/>
      </w:pPr>
      <w:r w:rsidDel="00000000" w:rsidR="00000000" w:rsidRPr="00000000">
        <w:rPr>
          <w:rFonts w:ascii="Times New Roman" w:cs="Times New Roman" w:eastAsia="Times New Roman" w:hAnsi="Times New Roman"/>
          <w:sz w:val="24"/>
          <w:szCs w:val="24"/>
          <w:rtl w:val="0"/>
        </w:rPr>
        <w:t xml:space="preserve">Kreps, J. (2014). Questioning the Lambda architecture. </w:t>
      </w:r>
      <w:r w:rsidDel="00000000" w:rsidR="00000000" w:rsidRPr="00000000">
        <w:rPr>
          <w:rFonts w:ascii="Times New Roman" w:cs="Times New Roman" w:eastAsia="Times New Roman" w:hAnsi="Times New Roman"/>
          <w:i w:val="1"/>
          <w:iCs w:val="1"/>
          <w:sz w:val="24"/>
          <w:szCs w:val="24"/>
          <w:rtl w:val="0"/>
        </w:rPr>
        <w:t xml:space="preserve">O’Reilly Radar</w:t>
      </w:r>
      <w:r w:rsidDel="00000000" w:rsidR="00000000" w:rsidRPr="00000000">
        <w:rPr>
          <w:rFonts w:ascii="Times New Roman" w:cs="Times New Roman" w:eastAsia="Times New Roman" w:hAnsi="Times New Roman"/>
          <w:sz w:val="24"/>
          <w:szCs w:val="24"/>
          <w:rtl w:val="0"/>
        </w:rPr>
        <w:t xml:space="preserve">. https://www.oreilly.com/radar/questioning-the-lambda-architecture/</w:t>
      </w:r>
      <w:r w:rsidDel="00000000" w:rsidR="00000000" w:rsidRPr="00000000">
        <w:rPr>
          <w:rtl w:val="0"/>
        </w:rPr>
      </w:r>
    </w:p>
    <w:p w:rsidR="00000000" w:rsidDel="00000000" w:rsidP="00000000" w:rsidRDefault="00000000" w:rsidRPr="00000000" w14:paraId="00000071">
      <w:pPr>
        <w:spacing w:line="480" w:lineRule="auto"/>
        <w:ind w:left="720"/>
        <w:rPr/>
      </w:pPr>
      <w:r w:rsidDel="00000000" w:rsidR="00000000" w:rsidRPr="00000000">
        <w:rPr>
          <w:rFonts w:ascii="Times New Roman" w:cs="Times New Roman" w:eastAsia="Times New Roman" w:hAnsi="Times New Roman"/>
          <w:sz w:val="24"/>
          <w:szCs w:val="24"/>
          <w:rtl w:val="0"/>
        </w:rPr>
        <w:t xml:space="preserve">Little, J. D. C. (1961). A proof for the queuing formula: L = λW. </w:t>
      </w:r>
      <w:r w:rsidDel="00000000" w:rsidR="00000000" w:rsidRPr="00000000">
        <w:rPr>
          <w:rFonts w:ascii="Times New Roman" w:cs="Times New Roman" w:eastAsia="Times New Roman" w:hAnsi="Times New Roman"/>
          <w:i w:val="1"/>
          <w:iCs w:val="1"/>
          <w:sz w:val="24"/>
          <w:szCs w:val="24"/>
          <w:rtl w:val="0"/>
        </w:rPr>
        <w:t xml:space="preserve">Operations Research</w:t>
      </w:r>
      <w:r w:rsidDel="00000000" w:rsidR="00000000" w:rsidRPr="00000000">
        <w:rPr>
          <w:rFonts w:ascii="Times New Roman" w:cs="Times New Roman" w:eastAsia="Times New Roman" w:hAnsi="Times New Roman"/>
          <w:sz w:val="24"/>
          <w:szCs w:val="24"/>
          <w:rtl w:val="0"/>
        </w:rPr>
        <w:t xml:space="preserve">, 9(3), 383-387. https://doi.org/10.1287/opre.9.3.383</w:t>
      </w:r>
      <w:r w:rsidDel="00000000" w:rsidR="00000000" w:rsidRPr="00000000">
        <w:rPr>
          <w:rtl w:val="0"/>
        </w:rPr>
      </w:r>
    </w:p>
    <w:p w:rsidR="00000000" w:rsidDel="00000000" w:rsidP="00000000" w:rsidRDefault="00000000" w:rsidRPr="00000000" w14:paraId="00000072">
      <w:pPr>
        <w:spacing w:line="480" w:lineRule="auto"/>
        <w:ind w:left="720"/>
        <w:rPr/>
      </w:pPr>
      <w:r w:rsidDel="00000000" w:rsidR="00000000" w:rsidRPr="00000000">
        <w:rPr>
          <w:rFonts w:ascii="Times New Roman" w:cs="Times New Roman" w:eastAsia="Times New Roman" w:hAnsi="Times New Roman"/>
          <w:sz w:val="24"/>
          <w:szCs w:val="24"/>
          <w:rtl w:val="0"/>
        </w:rPr>
        <w:t xml:space="preserve">MacCárthaigh, C. (2019). Workload isolation using shuffle-sharding. </w:t>
      </w:r>
      <w:r w:rsidDel="00000000" w:rsidR="00000000" w:rsidRPr="00000000">
        <w:rPr>
          <w:rFonts w:ascii="Times New Roman" w:cs="Times New Roman" w:eastAsia="Times New Roman" w:hAnsi="Times New Roman"/>
          <w:i w:val="1"/>
          <w:iCs w:val="1"/>
          <w:sz w:val="24"/>
          <w:szCs w:val="24"/>
          <w:rtl w:val="0"/>
        </w:rPr>
        <w:t xml:space="preserve">The Amazon Builders’ Library</w:t>
      </w:r>
      <w:r w:rsidDel="00000000" w:rsidR="00000000" w:rsidRPr="00000000">
        <w:rPr>
          <w:rFonts w:ascii="Times New Roman" w:cs="Times New Roman" w:eastAsia="Times New Roman" w:hAnsi="Times New Roman"/>
          <w:sz w:val="24"/>
          <w:szCs w:val="24"/>
          <w:rtl w:val="0"/>
        </w:rPr>
        <w:t xml:space="preserve">. https://aws.amazon.com/builders-library/workload-isolation-using-shuffle-sharding</w:t>
      </w:r>
      <w:r w:rsidDel="00000000" w:rsidR="00000000" w:rsidRPr="00000000">
        <w:rPr>
          <w:rtl w:val="0"/>
        </w:rPr>
      </w:r>
    </w:p>
    <w:p w:rsidR="00000000" w:rsidDel="00000000" w:rsidP="00000000" w:rsidRDefault="00000000" w:rsidRPr="00000000" w14:paraId="00000073">
      <w:pPr>
        <w:spacing w:line="480" w:lineRule="auto"/>
        <w:ind w:left="720"/>
        <w:rPr/>
      </w:pPr>
      <w:r w:rsidDel="00000000" w:rsidR="00000000" w:rsidRPr="00000000">
        <w:rPr>
          <w:rFonts w:ascii="Times New Roman" w:cs="Times New Roman" w:eastAsia="Times New Roman" w:hAnsi="Times New Roman"/>
          <w:sz w:val="24"/>
          <w:szCs w:val="24"/>
          <w:rtl w:val="0"/>
        </w:rPr>
        <w:t xml:space="preserve">MacCormack, A., Baldwin, C., &amp; Rusnak, J. (2012). Exploring the duality between product and organizational architectures. </w:t>
      </w:r>
      <w:r w:rsidDel="00000000" w:rsidR="00000000" w:rsidRPr="00000000">
        <w:rPr>
          <w:rFonts w:ascii="Times New Roman" w:cs="Times New Roman" w:eastAsia="Times New Roman" w:hAnsi="Times New Roman"/>
          <w:i w:val="1"/>
          <w:iCs w:val="1"/>
          <w:sz w:val="24"/>
          <w:szCs w:val="24"/>
          <w:rtl w:val="0"/>
        </w:rPr>
        <w:t xml:space="preserve">Research Policy</w:t>
      </w:r>
      <w:r w:rsidDel="00000000" w:rsidR="00000000" w:rsidRPr="00000000">
        <w:rPr>
          <w:rFonts w:ascii="Times New Roman" w:cs="Times New Roman" w:eastAsia="Times New Roman" w:hAnsi="Times New Roman"/>
          <w:sz w:val="24"/>
          <w:szCs w:val="24"/>
          <w:rtl w:val="0"/>
        </w:rPr>
        <w:t xml:space="preserve">, 41(8), 1309-1324. https://doi.org/10.1016/j.respol.2012.04.011</w:t>
      </w:r>
      <w:r w:rsidDel="00000000" w:rsidR="00000000" w:rsidRPr="00000000">
        <w:rPr>
          <w:rtl w:val="0"/>
        </w:rPr>
      </w:r>
    </w:p>
    <w:p w:rsidR="00000000" w:rsidDel="00000000" w:rsidP="00000000" w:rsidRDefault="00000000" w:rsidRPr="00000000" w14:paraId="00000074">
      <w:pPr>
        <w:spacing w:line="480" w:lineRule="auto"/>
        <w:ind w:left="720"/>
        <w:rPr/>
      </w:pPr>
      <w:r w:rsidDel="00000000" w:rsidR="00000000" w:rsidRPr="00000000">
        <w:rPr>
          <w:rFonts w:ascii="Times New Roman" w:cs="Times New Roman" w:eastAsia="Times New Roman" w:hAnsi="Times New Roman"/>
          <w:sz w:val="24"/>
          <w:szCs w:val="24"/>
          <w:rtl w:val="0"/>
        </w:rPr>
        <w:t xml:space="preserve">Okolnychyi, A., Sun, C., Tanimura, K., Spitzer, R., Blue, R., Ho, S., Gu, Y., Lakkundi, V., &amp; Tsai, D. B. (2024). Petabyte-scale row-level operations in data lakehouses. </w:t>
      </w:r>
      <w:r w:rsidDel="00000000" w:rsidR="00000000" w:rsidRPr="00000000">
        <w:rPr>
          <w:rFonts w:ascii="Times New Roman" w:cs="Times New Roman" w:eastAsia="Times New Roman" w:hAnsi="Times New Roman"/>
          <w:i w:val="1"/>
          <w:iCs w:val="1"/>
          <w:sz w:val="24"/>
          <w:szCs w:val="24"/>
          <w:rtl w:val="0"/>
        </w:rPr>
        <w:t xml:space="preserve">Proceedings of the VLDB Endowment</w:t>
      </w:r>
      <w:r w:rsidDel="00000000" w:rsidR="00000000" w:rsidRPr="00000000">
        <w:rPr>
          <w:rFonts w:ascii="Times New Roman" w:cs="Times New Roman" w:eastAsia="Times New Roman" w:hAnsi="Times New Roman"/>
          <w:sz w:val="24"/>
          <w:szCs w:val="24"/>
          <w:rtl w:val="0"/>
        </w:rPr>
        <w:t xml:space="preserve">, 17(12), 4159-4172. https://doi.org/10.14778/3685800.3685834</w:t>
      </w:r>
      <w:r w:rsidDel="00000000" w:rsidR="00000000" w:rsidRPr="00000000">
        <w:rPr>
          <w:rtl w:val="0"/>
        </w:rPr>
      </w:r>
    </w:p>
    <w:p w:rsidR="00000000" w:rsidDel="00000000" w:rsidP="00000000" w:rsidRDefault="00000000" w:rsidRPr="00000000" w14:paraId="00000075">
      <w:pPr>
        <w:spacing w:line="480" w:lineRule="auto"/>
        <w:ind w:left="720"/>
        <w:rPr/>
      </w:pPr>
      <w:r w:rsidDel="00000000" w:rsidR="00000000" w:rsidRPr="00000000">
        <w:rPr>
          <w:rFonts w:ascii="Times New Roman" w:cs="Times New Roman" w:eastAsia="Times New Roman" w:hAnsi="Times New Roman"/>
          <w:sz w:val="24"/>
          <w:szCs w:val="24"/>
          <w:rtl w:val="0"/>
        </w:rPr>
        <w:t xml:space="preserve">Reis, J., &amp; Housley, M. (2022). </w:t>
      </w:r>
      <w:r w:rsidDel="00000000" w:rsidR="00000000" w:rsidRPr="00000000">
        <w:rPr>
          <w:rFonts w:ascii="Times New Roman" w:cs="Times New Roman" w:eastAsia="Times New Roman" w:hAnsi="Times New Roman"/>
          <w:i w:val="1"/>
          <w:iCs w:val="1"/>
          <w:sz w:val="24"/>
          <w:szCs w:val="24"/>
          <w:rtl w:val="0"/>
        </w:rPr>
        <w:t xml:space="preserve">Fundamentals of data engineering</w:t>
      </w:r>
      <w:r w:rsidDel="00000000" w:rsidR="00000000" w:rsidRPr="00000000">
        <w:rPr>
          <w:rFonts w:ascii="Times New Roman" w:cs="Times New Roman" w:eastAsia="Times New Roman" w:hAnsi="Times New Roman"/>
          <w:sz w:val="24"/>
          <w:szCs w:val="24"/>
          <w:rtl w:val="0"/>
        </w:rPr>
        <w:t xml:space="preserve">. O’Reilly Media. ISBN: 978-1098108304.</w:t>
      </w:r>
      <w:r w:rsidDel="00000000" w:rsidR="00000000" w:rsidRPr="00000000">
        <w:rPr>
          <w:rtl w:val="0"/>
        </w:rPr>
      </w:r>
    </w:p>
    <w:p w:rsidR="00000000" w:rsidDel="00000000" w:rsidP="00000000" w:rsidRDefault="00000000" w:rsidRPr="00000000" w14:paraId="00000076">
      <w:pPr>
        <w:spacing w:line="480" w:lineRule="auto"/>
        <w:ind w:left="720"/>
        <w:rPr/>
      </w:pPr>
      <w:r w:rsidDel="00000000" w:rsidR="00000000" w:rsidRPr="00000000">
        <w:rPr>
          <w:rFonts w:ascii="Times New Roman" w:cs="Times New Roman" w:eastAsia="Times New Roman" w:hAnsi="Times New Roman"/>
          <w:sz w:val="24"/>
          <w:szCs w:val="24"/>
          <w:rtl w:val="0"/>
        </w:rPr>
        <w:t xml:space="preserve">Rose, S., Borchert, O., Mitchell, S., &amp; Connelly, S. (2020). </w:t>
      </w:r>
      <w:r w:rsidDel="00000000" w:rsidR="00000000" w:rsidRPr="00000000">
        <w:rPr>
          <w:rFonts w:ascii="Times New Roman" w:cs="Times New Roman" w:eastAsia="Times New Roman" w:hAnsi="Times New Roman"/>
          <w:i w:val="1"/>
          <w:iCs w:val="1"/>
          <w:sz w:val="24"/>
          <w:szCs w:val="24"/>
          <w:rtl w:val="0"/>
        </w:rPr>
        <w:t xml:space="preserve">Zero trust architecture (NIST SP 800-207)</w:t>
      </w:r>
      <w:r w:rsidDel="00000000" w:rsidR="00000000" w:rsidRPr="00000000">
        <w:rPr>
          <w:rFonts w:ascii="Times New Roman" w:cs="Times New Roman" w:eastAsia="Times New Roman" w:hAnsi="Times New Roman"/>
          <w:sz w:val="24"/>
          <w:szCs w:val="24"/>
          <w:rtl w:val="0"/>
        </w:rPr>
        <w:t xml:space="preserve">. https://doi.org/10.6028/NIST.SP.800-207</w:t>
      </w:r>
      <w:r w:rsidDel="00000000" w:rsidR="00000000" w:rsidRPr="00000000">
        <w:rPr>
          <w:rtl w:val="0"/>
        </w:rPr>
      </w:r>
    </w:p>
    <w:p w:rsidR="00000000" w:rsidDel="00000000" w:rsidP="00000000" w:rsidRDefault="00000000" w:rsidRPr="00000000" w14:paraId="00000077">
      <w:pPr>
        <w:spacing w:line="480" w:lineRule="auto"/>
        <w:ind w:left="720"/>
        <w:rPr/>
      </w:pPr>
      <w:r w:rsidDel="00000000" w:rsidR="00000000" w:rsidRPr="00000000">
        <w:rPr>
          <w:rFonts w:ascii="Times New Roman" w:cs="Times New Roman" w:eastAsia="Times New Roman" w:hAnsi="Times New Roman"/>
          <w:sz w:val="24"/>
          <w:szCs w:val="24"/>
          <w:rtl w:val="0"/>
        </w:rPr>
        <w:t xml:space="preserve">Uttamchandani, S. (2018). Taming data quality with circuit breakers. </w:t>
      </w:r>
      <w:r w:rsidDel="00000000" w:rsidR="00000000" w:rsidRPr="00000000">
        <w:rPr>
          <w:rFonts w:ascii="Times New Roman" w:cs="Times New Roman" w:eastAsia="Times New Roman" w:hAnsi="Times New Roman"/>
          <w:i w:val="1"/>
          <w:iCs w:val="1"/>
          <w:sz w:val="24"/>
          <w:szCs w:val="24"/>
          <w:rtl w:val="0"/>
        </w:rPr>
        <w:t xml:space="preserve">O’Reilly Strata Data Conference</w:t>
      </w:r>
      <w:r w:rsidDel="00000000" w:rsidR="00000000" w:rsidRPr="00000000">
        <w:rPr>
          <w:rFonts w:ascii="Times New Roman" w:cs="Times New Roman" w:eastAsia="Times New Roman" w:hAnsi="Times New Roman"/>
          <w:sz w:val="24"/>
          <w:szCs w:val="24"/>
          <w:rtl w:val="0"/>
        </w:rPr>
        <w:t xml:space="preserve">. https://modern-cdo.medium.com/taming-data-quality-with-circuit-breakers-dbe550d3ca78</w:t>
      </w:r>
      <w:r w:rsidDel="00000000" w:rsidR="00000000" w:rsidRPr="00000000">
        <w:rPr>
          <w:rtl w:val="0"/>
        </w:rPr>
      </w:r>
    </w:p>
    <w:p w:rsidR="00000000" w:rsidDel="00000000" w:rsidP="00000000" w:rsidRDefault="00000000" w:rsidRPr="00000000" w14:paraId="00000078">
      <w:pPr>
        <w:spacing w:line="480" w:lineRule="auto"/>
        <w:ind w:left="72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Wang, G., Chen, L., Dikshit, A., Gustafson, J., Chen, B., Sax, M. J., Roesler, J., Blee-Goldman, S., Cadonna, B., Mehta, A., Madan, V., &amp; Rao, J. (2021). Consistency and completeness: Rethinking distributed stream processing in Apache Kafka. </w:t>
      </w:r>
      <w:r w:rsidDel="00000000" w:rsidR="00000000" w:rsidRPr="00000000">
        <w:rPr>
          <w:rFonts w:ascii="Times New Roman" w:cs="Times New Roman" w:eastAsia="Times New Roman" w:hAnsi="Times New Roman"/>
          <w:i w:val="1"/>
          <w:iCs w:val="1"/>
          <w:sz w:val="24"/>
          <w:szCs w:val="24"/>
          <w:rtl w:val="0"/>
        </w:rPr>
        <w:t xml:space="preserve">Proceedings of the 2021 ACM SIGMOD</w:t>
      </w:r>
      <w:r w:rsidDel="00000000" w:rsidR="00000000" w:rsidRPr="00000000">
        <w:rPr>
          <w:rFonts w:ascii="Times New Roman" w:cs="Times New Roman" w:eastAsia="Times New Roman" w:hAnsi="Times New Roman"/>
          <w:sz w:val="24"/>
          <w:szCs w:val="24"/>
          <w:rtl w:val="0"/>
        </w:rPr>
        <w:t xml:space="preserve">, 2602-2613. https://doi.org/10.1145/3448016.3457556</w:t>
      </w:r>
      <w:r w:rsidDel="00000000" w:rsidR="00000000" w:rsidRPr="00000000">
        <w:rPr>
          <w:rtl w:val="0"/>
        </w:rPr>
      </w:r>
    </w:p>
    <w:p w:rsidR="00000000" w:rsidDel="00000000" w:rsidP="00000000" w:rsidRDefault="00000000" w:rsidRPr="00000000" w14:paraId="00000079">
      <w:pPr>
        <w:spacing w:line="480" w:lineRule="auto"/>
        <w:ind w:left="720"/>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Signers xmlns:go="http://customooxmlschemas.google.com/" xmlns:r="http://schemas.openxmlformats.org/officeDocument/2006/relationships">
  <go:Signer>
    <go:Gdesa>{"SignerLabel":"Ulisses Flores","SignerId":"esignature.jalwnffx5zmw","SignerColor":"#e8f0fe","SignerIndex":"1"}</go:Gdesa>
  </go:Signer>
</go:Signers>
</file>

<file path=customXML/itemProps1.xml><?xml version="1.0" encoding="utf-8"?>
<ds:datastoreItem xmlns:ds="http://schemas.openxmlformats.org/officeDocument/2006/customXml" ds:itemID="{999-1234-1234-1234-123412341234}">
  <ds:schemaRefs>
    <ds:schemaRef ds:uri="http://customooxmlschemas.google.com/"/>
  </ds:schemaRefs>
</ds:datastoreItem>
</file>