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1.png" ContentType="image/png"/>
  <Override PartName="/word/media/rId44.png" ContentType="image/png"/>
  <Override PartName="/word/media/rId47.png" ContentType="image/png"/>
  <Override PartName="/word/media/rId57.png" ContentType="image/png"/>
  <Override PartName="/word/media/rId61.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pPr>
      <w:r>
        <w:drawing>
          <wp:inline>
            <wp:extent cx="1871999" cy="1221088"/>
            <wp:effectExtent b="0" l="0" r="0" t="0"/>
            <wp:docPr descr="" title="" id="29" name="Picture"/>
            <a:graphic>
              <a:graphicData uri="http://schemas.openxmlformats.org/drawingml/2006/picture">
                <pic:pic>
                  <pic:nvPicPr>
                    <pic:cNvPr descr="/Users/ulissesflores/Developer/research-lab/fabrica/artigos/2025-fraud-detection-mlp/docs/assets/codex-hash-lockup-stacked@2x.png"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1100"/>
      </w:pPr>
    </w:p>
    <w:p>
      <w:pPr>
        <w:pStyle w:val="CoverTitle"/>
      </w:pPr>
      <w:r>
        <w:t xml:space="preserve">O limiar importa mais que o modelo: dominância do ponto de operação na detecção de fraude em cartões</w:t>
      </w:r>
    </w:p>
    <w:p>
      <w:pPr>
        <w:pStyle w:val="CoverSubtitle"/>
      </w:pPr>
      <w:r>
        <w:t xml:space="preserve">Um estudo de caso confirmatório e auditável no benchmark ULB/Worldline</w:t>
      </w:r>
    </w:p>
    <w:p>
      <w:pPr>
        <w:spacing w:after="1100"/>
      </w:pPr>
    </w:p>
    <w:p>
      <w:pPr>
        <w:pStyle w:val="CoverInfo"/>
      </w:pPr>
      <w:r>
        <w:rPr>
          <w:b/>
          <w:bCs/>
        </w:rPr>
        <w:t xml:space="preserve">Carlos Ulisses Flores</w:t>
      </w:r>
    </w:p>
    <w:p>
      <w:pPr>
        <w:pStyle w:val="CoverInfo"/>
      </w:pPr>
      <w:r>
        <w:t xml:space="preserve">Mestrando em Inteligência Artificial</w:t>
      </w:r>
    </w:p>
    <w:p>
      <w:pPr>
        <w:pStyle w:val="CoverInfo"/>
      </w:pPr>
      <w:r>
        <w:t xml:space="preserve">Codex Hash — São Paulo, Brazil</w:t>
      </w:r>
    </w:p>
    <w:p>
      <w:pPr>
        <w:pStyle w:val="CoverSmall"/>
      </w:pPr>
      <w:r>
        <w:t xml:space="preserve">ORCID: 0000-0002-6034-7765</w:t>
      </w:r>
    </w:p>
    <w:p>
      <w:pPr>
        <w:spacing w:after="1400"/>
      </w:pPr>
    </w:p>
    <w:p>
      <w:pPr>
        <w:pStyle w:val="CoverInfo"/>
      </w:pPr>
      <w:r>
        <w:t xml:space="preserve">Data: 4 de julho de 2026</w:t>
      </w:r>
    </w:p>
    <w:bookmarkStart w:id="31" w:name="resumo"/>
    <w:p>
      <w:pPr>
        <w:pStyle w:val="Heading2"/>
        <w:pageBreakBefore/>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de Múltiplas 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bookmarkEnd w:id="31"/>
    <w:bookmarkStart w:id="32" w:name="abstract"/>
    <w:p>
      <w:pPr>
        <w:pStyle w:val="Heading2"/>
        <w:pageBreakBefore/>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bookmarkEnd w:id="32"/>
    <w:bookmarkStart w:id="33" w:name="introdução"/>
    <w:p>
      <w:pPr>
        <w:pStyle w:val="Heading2"/>
        <w:pageBreakBefore/>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Hayat e Magnier (2025) documentaram essa dinâmica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nova 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3"/>
    <w:bookmarkStart w:id="34"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4"/>
    <w:bookmarkStart w:id="38" w:name="dados"/>
    <w:p>
      <w:pPr>
        <w:pStyle w:val="Heading2"/>
      </w:pPr>
      <w:r>
        <w:t xml:space="preserve">3. Dados</w:t>
      </w:r>
    </w:p>
    <w:p>
      <w:pPr>
        <w:pStyle w:val="FirstParagraph"/>
      </w:pPr>
      <w:r>
        <w:t xml:space="preserve">O conjunto ULB/Worldline, mantido pelo Machine Learning Group da Université Libre de Bruxelles e distribuído via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CaptionLabel"/>
      </w:pPr>
      <w:r>
        <w:t xml:space="preserve">Figura 1</w:t>
      </w:r>
    </w:p>
    <w:p>
      <w:pPr>
        <w:pStyle w:val="CaptionText"/>
      </w:pPr>
      <w:r>
        <w:t xml:space="preserve">Distribuição de classes no conjunto de teste (escala logarítmica): 42.648 transações legítimas contra 74 fraudes (prevalência 0,173%)</w:t>
      </w:r>
    </w:p>
    <w:p>
      <w:pPr>
        <w:pStyle w:val="FigureImage"/>
      </w:pPr>
      <w:r>
        <w:drawing>
          <wp:inline>
            <wp:extent cx="5029200" cy="3108960"/>
            <wp:effectExtent b="0" l="0" r="0" t="0"/>
            <wp:docPr descr="" title="" id="36" name="Picture"/>
            <a:graphic>
              <a:graphicData uri="http://schemas.openxmlformats.org/drawingml/2006/picture">
                <pic:pic>
                  <pic:nvPicPr>
                    <pic:cNvPr descr="../../output/figures/fig1_class_distribution.png" id="37" name="Picture"/>
                    <pic:cNvPicPr>
                      <a:picLocks noChangeArrowheads="1" noChangeAspect="1"/>
                    </pic:cNvPicPr>
                  </pic:nvPicPr>
                  <pic:blipFill>
                    <a:blip r:embed="rId35"/>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8"/>
    <w:bookmarkStart w:id="39"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9"/>
    <w:bookmarkStart w:id="40"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40"/>
    <w:bookmarkStart w:id="65"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CaptionLabel"/>
      </w:pPr>
      <w:r>
        <w:t xml:space="preserve">Figura 2</w:t>
      </w:r>
    </w:p>
    <w:p>
      <w:pPr>
        <w:pStyle w:val="CaptionText"/>
      </w:pPr>
      <w:r>
        <w:t xml:space="preserve">Curvas precisão-revocação no teste para as quatro famílias de modelos, com AUC-PR por modelo. Os supervisionados (MLP e LR) dominam os não supervisionados em todo o espaço de revocação</w:t>
      </w:r>
    </w:p>
    <w:p>
      <w:pPr>
        <w:pStyle w:val="FigureImage"/>
      </w:pPr>
      <w:r>
        <w:drawing>
          <wp:inline>
            <wp:extent cx="5029200" cy="3657600"/>
            <wp:effectExtent b="0" l="0" r="0" t="0"/>
            <wp:docPr descr="" title="" id="42" name="Picture"/>
            <a:graphic>
              <a:graphicData uri="http://schemas.openxmlformats.org/drawingml/2006/picture">
                <pic:pic>
                  <pic:nvPicPr>
                    <pic:cNvPr descr="../../output/figures/fig2_pr_curves_test.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p>
    <w:p>
      <w:pPr>
        <w:pStyle w:val="CaptionLabel"/>
      </w:pPr>
      <w:r>
        <w:t xml:space="preserve">Tabela 1</w:t>
      </w:r>
    </w:p>
    <w:p>
      <w:pPr>
        <w:pStyle w:val="CaptionText"/>
      </w:pPr>
      <w:r>
        <w:t xml:space="preserve">Desempenho no teste por modelo e ponto de operação</w:t>
      </w:r>
    </w:p>
    <w:tbl>
      <w:tblPr>
        <w:tblLayout w:type="fixed"/>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keepNext/>
              __KN__
              <w:pStyle w:val="Compact"/>
            </w:pPr>
            <w:r>
              <w:t xml:space="preserve">Modelo e limiar</w:t>
            </w:r>
          </w:p>
        </w:tc>
        <w:tc>
          <w:tcPr/>
          <w:p>
            <w:pPr>
              <w:keepNext/>
              __KN__
              <w:pStyle w:val="Compact"/>
            </w:pPr>
            <w:r>
              <w:t xml:space="preserve">Precisão</w:t>
            </w:r>
          </w:p>
        </w:tc>
        <w:tc>
          <w:tcPr/>
          <w:p>
            <w:pPr>
              <w:keepNext/>
              __KN__
              <w:pStyle w:val="Compact"/>
            </w:pPr>
            <w:r>
              <w:t xml:space="preserve">Revocação</w:t>
            </w:r>
          </w:p>
        </w:tc>
        <w:tc>
          <w:tcPr/>
          <w:p>
            <w:pPr>
              <w:keepNext/>
              __KN__
              <w:pStyle w:val="Compact"/>
            </w:pPr>
            <w:r>
              <w:t xml:space="preserve">F1</w:t>
            </w:r>
          </w:p>
        </w:tc>
        <w:tc>
          <w:tcPr/>
          <w:p>
            <w:pPr>
              <w:keepNext/>
              __KN__
              <w:pStyle w:val="Compact"/>
            </w:pPr>
            <w:r>
              <w:t xml:space="preserve">FP</w:t>
            </w:r>
          </w:p>
        </w:tc>
        <w:tc>
          <w:tcPr/>
          <w:p>
            <w:pPr>
              <w:keepNext/>
              __KN__
              <w:pStyle w:val="Compact"/>
            </w:pPr>
            <w:r>
              <w:t xml:space="preserve">FN</w:t>
            </w:r>
          </w:p>
        </w:tc>
      </w:tr>
      <w:tr>
        <w:tc>
          <w:tcPr/>
          <w:p>
            <w:pPr>
              <w:keepNext/>
              __KN__
              <w:pStyle w:val="Compact"/>
            </w:pPr>
            <w:r>
              <w:t xml:space="preserve">MLP, 0,50</w:t>
            </w:r>
          </w:p>
        </w:tc>
        <w:tc>
          <w:tcPr/>
          <w:p>
            <w:pPr>
              <w:keepNext/>
              __KN__
              <w:pStyle w:val="Compact"/>
            </w:pPr>
            <w:r>
              <w:t xml:space="preserve">0,157</w:t>
            </w:r>
          </w:p>
        </w:tc>
        <w:tc>
          <w:tcPr/>
          <w:p>
            <w:pPr>
              <w:keepNext/>
              __KN__
              <w:pStyle w:val="Compact"/>
            </w:pPr>
            <w:r>
              <w:t xml:space="preserve">0,878</w:t>
            </w:r>
          </w:p>
        </w:tc>
        <w:tc>
          <w:tcPr/>
          <w:p>
            <w:pPr>
              <w:keepNext/>
              __KN__
              <w:pStyle w:val="Compact"/>
            </w:pPr>
            <w:r>
              <w:t xml:space="preserve">0,267</w:t>
            </w:r>
          </w:p>
        </w:tc>
        <w:tc>
          <w:tcPr/>
          <w:p>
            <w:pPr>
              <w:keepNext/>
              __KN__
              <w:pStyle w:val="Compact"/>
            </w:pPr>
            <w:r>
              <w:t xml:space="preserve">348</w:t>
            </w:r>
          </w:p>
        </w:tc>
        <w:tc>
          <w:tcPr/>
          <w:p>
            <w:pPr>
              <w:keepNext/>
              __KN__
              <w:pStyle w:val="Compact"/>
            </w:pPr>
            <w:r>
              <w:t xml:space="preserve">9</w:t>
            </w:r>
          </w:p>
        </w:tc>
      </w:tr>
      <w:tr>
        <w:tc>
          <w:tcPr/>
          <w:p>
            <w:pPr>
              <w:keepNext/>
              __KN__
              <w:pStyle w:val="Compact"/>
            </w:pPr>
            <w:r>
              <w:t xml:space="preserve">MLP, 0,99</w:t>
            </w:r>
          </w:p>
        </w:tc>
        <w:tc>
          <w:tcPr/>
          <w:p>
            <w:pPr>
              <w:keepNext/>
              __KN__
              <w:pStyle w:val="Compact"/>
            </w:pPr>
            <w:r>
              <w:t xml:space="preserve">0,769</w:t>
            </w:r>
          </w:p>
        </w:tc>
        <w:tc>
          <w:tcPr/>
          <w:p>
            <w:pPr>
              <w:keepNext/>
              __KN__
              <w:pStyle w:val="Compact"/>
            </w:pPr>
            <w:r>
              <w:t xml:space="preserve">0,811</w:t>
            </w:r>
          </w:p>
        </w:tc>
        <w:tc>
          <w:tcPr/>
          <w:p>
            <w:pPr>
              <w:keepNext/>
              __KN__
              <w:pStyle w:val="Compact"/>
            </w:pPr>
            <w:r>
              <w:t xml:space="preserve">0,790</w:t>
            </w:r>
          </w:p>
        </w:tc>
        <w:tc>
          <w:tcPr/>
          <w:p>
            <w:pPr>
              <w:keepNext/>
              __KN__
              <w:pStyle w:val="Compact"/>
            </w:pPr>
            <w:r>
              <w:t xml:space="preserve">18</w:t>
            </w:r>
          </w:p>
        </w:tc>
        <w:tc>
          <w:tcPr/>
          <w:p>
            <w:pPr>
              <w:keepNext/>
              __KN__
              <w:pStyle w:val="Compact"/>
            </w:pPr>
            <w:r>
              <w:t xml:space="preserve">14</w:t>
            </w:r>
          </w:p>
        </w:tc>
      </w:tr>
      <w:tr>
        <w:tc>
          <w:tcPr/>
          <w:p>
            <w:pPr>
              <w:keepNext/>
              __KN__
              <w:pStyle w:val="Compact"/>
            </w:pPr>
            <w:r>
              <w:t xml:space="preserve">MLP, τ*</w:t>
            </w:r>
          </w:p>
        </w:tc>
        <w:tc>
          <w:tcPr/>
          <w:p>
            <w:pPr>
              <w:keepNext/>
              __KN__
              <w:pStyle w:val="Compact"/>
            </w:pPr>
            <w:r>
              <w:t xml:space="preserve">0,875</w:t>
            </w:r>
          </w:p>
        </w:tc>
        <w:tc>
          <w:tcPr/>
          <w:p>
            <w:pPr>
              <w:keepNext/>
              __KN__
              <w:pStyle w:val="Compact"/>
            </w:pPr>
            <w:r>
              <w:t xml:space="preserve">0,757</w:t>
            </w:r>
          </w:p>
        </w:tc>
        <w:tc>
          <w:tcPr/>
          <w:p>
            <w:pPr>
              <w:keepNext/>
              __KN__
              <w:pStyle w:val="Compact"/>
            </w:pPr>
            <w:r>
              <w:t xml:space="preserve">0,812</w:t>
            </w:r>
          </w:p>
        </w:tc>
        <w:tc>
          <w:tcPr/>
          <w:p>
            <w:pPr>
              <w:keepNext/>
              __KN__
              <w:pStyle w:val="Compact"/>
            </w:pPr>
            <w:r>
              <w:t xml:space="preserve">8</w:t>
            </w:r>
          </w:p>
        </w:tc>
        <w:tc>
          <w:tcPr/>
          <w:p>
            <w:pPr>
              <w:keepNext/>
              __KN__
              <w:pStyle w:val="Compact"/>
            </w:pPr>
            <w:r>
              <w:t xml:space="preserve">18</w:t>
            </w:r>
          </w:p>
        </w:tc>
      </w:tr>
      <w:tr>
        <w:tc>
          <w:tcPr/>
          <w:p>
            <w:pPr>
              <w:keepNext/>
              __KN__
              <w:pStyle w:val="Compact"/>
            </w:pPr>
            <w:r>
              <w:t xml:space="preserve">LR, τ*</w:t>
            </w:r>
          </w:p>
        </w:tc>
        <w:tc>
          <w:tcPr/>
          <w:p>
            <w:pPr>
              <w:keepNext/>
              __KN__
              <w:pStyle w:val="Compact"/>
            </w:pPr>
            <w:r>
              <w:t xml:space="preserve">0,931</w:t>
            </w:r>
          </w:p>
        </w:tc>
        <w:tc>
          <w:tcPr/>
          <w:p>
            <w:pPr>
              <w:keepNext/>
              __KN__
              <w:pStyle w:val="Compact"/>
            </w:pPr>
            <w:r>
              <w:t xml:space="preserve">0,730</w:t>
            </w:r>
          </w:p>
        </w:tc>
        <w:tc>
          <w:tcPr/>
          <w:p>
            <w:pPr>
              <w:keepNext/>
              __KN__
              <w:pStyle w:val="Compact"/>
            </w:pPr>
            <w:r>
              <w:t xml:space="preserve">0,818</w:t>
            </w:r>
          </w:p>
        </w:tc>
        <w:tc>
          <w:tcPr/>
          <w:p>
            <w:pPr>
              <w:keepNext/>
              __KN__
              <w:pStyle w:val="Compact"/>
            </w:pPr>
            <w:r>
              <w:t xml:space="preserve">4</w:t>
            </w:r>
          </w:p>
        </w:tc>
        <w:tc>
          <w:tcPr/>
          <w:p>
            <w:pPr>
              <w:keepNext/>
              __KN__
              <w:pStyle w:val="Compact"/>
            </w:pPr>
            <w:r>
              <w:t xml:space="preserve">20</w:t>
            </w:r>
          </w:p>
        </w:tc>
      </w:tr>
      <w:tr>
        <w:tc>
          <w:tcPr/>
          <w:p>
            <w:pPr>
              <w:keepNext/>
              __KN__
              <w:pStyle w:val="Compact"/>
            </w:pPr>
            <w:r>
              <w:t xml:space="preserve">Autoencoder</w:t>
            </w:r>
          </w:p>
        </w:tc>
        <w:tc>
          <w:tcPr/>
          <w:p>
            <w:pPr>
              <w:keepNext/>
              __KN__
              <w:pStyle w:val="Compact"/>
            </w:pPr>
            <w:r>
              <w:t xml:space="preserve">0,769</w:t>
            </w:r>
          </w:p>
        </w:tc>
        <w:tc>
          <w:tcPr/>
          <w:p>
            <w:pPr>
              <w:keepNext/>
              __KN__
              <w:pStyle w:val="Compact"/>
            </w:pPr>
            <w:r>
              <w:t xml:space="preserve">0,405</w:t>
            </w:r>
          </w:p>
        </w:tc>
        <w:tc>
          <w:tcPr/>
          <w:p>
            <w:pPr>
              <w:keepNext/>
              __KN__
              <w:pStyle w:val="Compact"/>
            </w:pPr>
            <w:r>
              <w:t xml:space="preserve">0,531</w:t>
            </w:r>
          </w:p>
        </w:tc>
        <w:tc>
          <w:tcPr/>
          <w:p>
            <w:pPr>
              <w:keepNext/>
              __KN__
              <w:pStyle w:val="Compact"/>
            </w:pPr>
            <w:r>
              <w:t xml:space="preserve">9</w:t>
            </w:r>
          </w:p>
        </w:tc>
        <w:tc>
          <w:tcPr/>
          <w:p>
            <w:pPr>
              <w:keepNext/>
              __KN__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TableNote"/>
      </w:pPr>
      <w:r>
        <w:rPr>
          <w:i/>
          <w:iCs/>
        </w:rPr>
        <w:t xml:space="preserve">Nota.</w:t>
      </w:r>
      <w:r>
        <w:t xml:space="preserve"> </w:t>
      </w:r>
      <w:r>
        <w:t xml:space="preserve">Valores arredondados a três casas decimais. 0,50 = limiar-padrão das bibliotecas; 0,99 = teto da grade censurada (fidelidade v3.2); τ* = ótimo de validação sem censura (MLP 0,9994; LR ≈1,0); Autoencoder e Isolation Forest no corte F1-ótimo de validação.</w:t>
      </w:r>
    </w:p>
    <w:bookmarkStart w:id="50"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CaptionLabel"/>
      </w:pPr>
      <w:r>
        <w:t xml:space="preserve">Figura 3</w:t>
      </w:r>
    </w:p>
    <w:p>
      <w:pPr>
        <w:pStyle w:val="CaptionText"/>
      </w:pPr>
      <w: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FigureImage"/>
      </w:pPr>
      <w:r>
        <w:drawing>
          <wp:inline>
            <wp:extent cx="5029200" cy="3657600"/>
            <wp:effectExtent b="0" l="0" r="0" t="0"/>
            <wp:docPr descr="" title="" id="45" name="Picture"/>
            <a:graphic>
              <a:graphicData uri="http://schemas.openxmlformats.org/drawingml/2006/picture">
                <pic:pic>
                  <pic:nvPicPr>
                    <pic:cNvPr descr="../../output/figures/fig3_threshold_sweep.png" id="46" name="Picture"/>
                    <pic:cNvPicPr>
                      <a:picLocks noChangeArrowheads="1" noChangeAspect="1"/>
                    </pic:cNvPicPr>
                  </pic:nvPicPr>
                  <pic:blipFill>
                    <a:blip r:embed="rId44"/>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t xml:space="preserve">Em termos operacionais, os falsos positivos caem de 348 para 8 (−97,7%) ao custo de 9 verdadeiros positivos (65→56); a Figura 4 contrasta as matrizes de confusão nos dois pontos.</w:t>
      </w:r>
    </w:p>
    <w:p>
      <w:pPr>
        <w:pStyle w:val="CaptionLabel"/>
      </w:pPr>
      <w:r>
        <w:t xml:space="preserve">Figura 4</w:t>
      </w:r>
    </w:p>
    <w:p>
      <w:pPr>
        <w:pStyle w:val="CaptionText"/>
      </w:pPr>
      <w:r>
        <w:t xml:space="preserve">Matrizes de confusão do MLP no teste nos dois pontos de operação: no default 0,5, 348 falsos positivos e 9 falsos negativos; em τ*=0,9994, 8 falsos positivos e 18 falsos negativos. O mesmo modelo, dois comportamentos operacionais</w:t>
      </w:r>
    </w:p>
    <w:p>
      <w:pPr>
        <w:pStyle w:val="FigureImage"/>
      </w:pPr>
      <w:r>
        <w:drawing>
          <wp:inline>
            <wp:extent cx="5943600" cy="2717074"/>
            <wp:effectExtent b="0" l="0" r="0" t="0"/>
            <wp:docPr descr="" title="" id="48" name="Picture"/>
            <a:graphic>
              <a:graphicData uri="http://schemas.openxmlformats.org/drawingml/2006/picture">
                <pic:pic>
                  <pic:nvPicPr>
                    <pic:cNvPr descr="../../output/figures/fig4_confusion_shift.png" id="49" name="Picture"/>
                    <pic:cNvPicPr>
                      <a:picLocks noChangeArrowheads="1" noChangeAspect="1"/>
                    </pic:cNvPicPr>
                  </pic:nvPicPr>
                  <pic:blipFill>
                    <a:blip r:embed="rId47"/>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50"/>
    <w:bookmarkStart w:id="54"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5 mostra a distribuição bootstrap da diferença pareada no regime primário.</w:t>
      </w:r>
    </w:p>
    <w:p>
      <w:pPr>
        <w:pStyle w:val="CaptionLabel"/>
      </w:pPr>
      <w:r>
        <w:t xml:space="preserve">Figura 5</w:t>
      </w:r>
    </w:p>
    <w:p>
      <w:pPr>
        <w:pStyle w:val="CaptionText"/>
      </w:pPr>
      <w:r>
        <w:t xml:space="preserve">Distribuição bootstrap pareada (10.000 réplicas) de ΔF1 = F1(MLP) − F1(LR) no teste, regime não-censurado. O intervalo de 95% [−0,055; +0,042] contém zero</w:t>
      </w:r>
    </w:p>
    <w:p>
      <w:pPr>
        <w:pStyle w:val="FigureImage"/>
      </w:pPr>
      <w:r>
        <w:drawing>
          <wp:inline>
            <wp:extent cx="5029200" cy="3291840"/>
            <wp:effectExtent b="0" l="0" r="0" t="0"/>
            <wp:docPr descr="" title="" id="52" name="Picture"/>
            <a:graphic>
              <a:graphicData uri="http://schemas.openxmlformats.org/drawingml/2006/picture">
                <pic:pic>
                  <pic:nvPicPr>
                    <pic:cNvPr descr="../../output/figures/fig7_bootstrap_delta.png" id="53" name="Picture"/>
                    <pic:cNvPicPr>
                      <a:picLocks noChangeArrowheads="1" noChangeAspect="1"/>
                    </pic:cNvPicPr>
                  </pic:nvPicPr>
                  <pic:blipFill>
                    <a:blip r:embed="rId51"/>
                    <a:stretch>
                      <a:fillRect/>
                    </a:stretch>
                  </pic:blipFill>
                  <pic:spPr bwMode="auto">
                    <a:xfrm>
                      <a:off x="0" y="0"/>
                      <a:ext cx="5029200" cy="3291840"/>
                    </a:xfrm>
                    <a:prstGeom prst="rect">
                      <a:avLst/>
                    </a:prstGeom>
                    <a:noFill/>
                    <a:ln w="9525">
                      <a:noFill/>
                      <a:headEnd/>
                      <a:tailEnd/>
                    </a:ln>
                  </pic:spPr>
                </pic:pic>
              </a:graphicData>
            </a:graphic>
          </wp:inline>
        </w:drawing>
      </w:r>
    </w:p>
    <w:p>
      <w:pPr>
        <w:pStyle w:val="CaptionLabel"/>
      </w:pPr>
      <w:r>
        <w:t xml:space="preserve">Tabela 2</w:t>
      </w:r>
    </w:p>
    <w:p>
      <w:pPr>
        <w:pStyle w:val="CaptionText"/>
      </w:pPr>
      <w:r>
        <w:t xml:space="preserve">Bootstrap pareado MLP × Regressão Logística no teste (10.000 réplicas, IC 95% percentílico), por regime de seleção de limiar</w:t>
      </w:r>
    </w:p>
    <w:tbl>
      <w:tblPr>
        <w:tblLayout w:type="fixed"/>
        <w:tblLayout w:type="fixed"/>
        <w:tblStyle w:val="Table"/>
        <w:tblW w:type="pct" w:w="5000"/>
        <w:tblLayout w:type="fixed"/>
        <w:tblLook w:firstRow="1" w:lastRow="0" w:firstColumn="0" w:lastColumn="0" w:noHBand="0" w:noVBand="0" w:val="0020"/>
      </w:tblPr>
      <w:tblGrid>
        <w:gridCol w:w="4680"/>
        <w:gridCol w:w="2340"/>
        <w:gridCol w:w="2340"/>
      </w:tblGrid>
      <w:tr>
        <w:trPr>
          <w:tblHeader w:val="on"/>
        </w:trPr>
        <w:tc>
          <w:tcPr/>
          <w:p>
            <w:pPr>
              <w:keepNext/>
              __KN__
              <w:pStyle w:val="Compact"/>
            </w:pPr>
            <w:r>
              <w:t xml:space="preserve">Quantidade</w:t>
            </w:r>
          </w:p>
        </w:tc>
        <w:tc>
          <w:tcPr/>
          <w:p>
            <w:pPr>
              <w:keepNext/>
              __KN__
              <w:pStyle w:val="Compact"/>
            </w:pPr>
            <w:r>
              <w:t xml:space="preserve">Grade censurada (fidelidade v3.2)</w:t>
            </w:r>
          </w:p>
        </w:tc>
        <w:tc>
          <w:tcPr/>
          <w:p>
            <w:pPr>
              <w:keepNext/>
              __KN__
              <w:pStyle w:val="Compact"/>
            </w:pPr>
            <w:r>
              <w:t xml:space="preserve">Sem censura (primário)</w:t>
            </w:r>
          </w:p>
        </w:tc>
      </w:tr>
      <w:tr>
        <w:tc>
          <w:tcPr/>
          <w:p>
            <w:pPr>
              <w:keepNext/>
              __KN__
              <w:pStyle w:val="Compact"/>
            </w:pPr>
            <w:r>
              <w:t xml:space="preserve">τ* MLP / τ* LR (validação)</w:t>
            </w:r>
          </w:p>
        </w:tc>
        <w:tc>
          <w:tcPr/>
          <w:p>
            <w:pPr>
              <w:keepNext/>
              __KN__
              <w:pStyle w:val="Compact"/>
            </w:pPr>
            <w:r>
              <w:t xml:space="preserve">0,99 / 0,99 (teto da grade)</w:t>
            </w:r>
          </w:p>
        </w:tc>
        <w:tc>
          <w:tcPr/>
          <w:p>
            <w:pPr>
              <w:keepNext/>
              __KN__
              <w:pStyle w:val="Compact"/>
            </w:pPr>
            <w:r>
              <w:t xml:space="preserve">0,9994 / ≈1,0</w:t>
            </w:r>
          </w:p>
        </w:tc>
      </w:tr>
      <w:tr>
        <w:tc>
          <w:tcPr/>
          <w:p>
            <w:pPr>
              <w:keepNext/>
              __KN__
              <w:pStyle w:val="Compact"/>
            </w:pPr>
            <w:r>
              <w:t xml:space="preserve">F1 MLP (teste)</w:t>
            </w:r>
          </w:p>
        </w:tc>
        <w:tc>
          <w:tcPr/>
          <w:p>
            <w:pPr>
              <w:keepNext/>
              __KN__
              <w:pStyle w:val="Compact"/>
            </w:pPr>
            <w:r>
              <w:t xml:space="preserve">0,790</w:t>
            </w:r>
          </w:p>
        </w:tc>
        <w:tc>
          <w:tcPr/>
          <w:p>
            <w:pPr>
              <w:keepNext/>
              __KN__
              <w:pStyle w:val="Compact"/>
            </w:pPr>
            <w:r>
              <w:t xml:space="preserve">0,812 [0,735; 0,877]</w:t>
            </w:r>
          </w:p>
        </w:tc>
      </w:tr>
      <w:tr>
        <w:tc>
          <w:tcPr/>
          <w:p>
            <w:pPr>
              <w:keepNext/>
              __KN__
              <w:pStyle w:val="Compact"/>
            </w:pPr>
            <w:r>
              <w:t xml:space="preserve">F1 LR (teste)</w:t>
            </w:r>
          </w:p>
        </w:tc>
        <w:tc>
          <w:tcPr/>
          <w:p>
            <w:pPr>
              <w:keepNext/>
              __KN__
              <w:pStyle w:val="Compact"/>
            </w:pPr>
            <w:r>
              <w:t xml:space="preserve">0,736</w:t>
            </w:r>
          </w:p>
        </w:tc>
        <w:tc>
          <w:tcPr/>
          <w:p>
            <w:pPr>
              <w:keepNext/>
              __KN__
              <w:pStyle w:val="Compact"/>
            </w:pPr>
            <w:r>
              <w:t xml:space="preserve">0,818 [0,739; 0,884]</w:t>
            </w:r>
          </w:p>
        </w:tc>
      </w:tr>
      <w:tr>
        <w:tc>
          <w:tcPr/>
          <w:p>
            <w:pPr>
              <w:keepNext/>
              __KN__
              <w:pStyle w:val="Compact"/>
            </w:pPr>
            <w:r>
              <w:t xml:space="preserve">ΔF1 (MLP−LR)</w:t>
            </w:r>
          </w:p>
        </w:tc>
        <w:tc>
          <w:tcPr/>
          <w:p>
            <w:pPr>
              <w:keepNext/>
              __KN__
              <w:pStyle w:val="Compact"/>
            </w:pPr>
            <w:r>
              <w:t xml:space="preserve">+0,053 [+0,019; +0,093]</w:t>
            </w:r>
          </w:p>
        </w:tc>
        <w:tc>
          <w:tcPr/>
          <w:p>
            <w:pPr>
              <w:keepNext/>
              __KN__
              <w:pStyle w:val="Compact"/>
            </w:pPr>
            <w:r>
              <w:t xml:space="preserve">−0,007 [−0,055; +0,042]</w:t>
            </w:r>
          </w:p>
        </w:tc>
      </w:tr>
      <w:tr>
        <w:tc>
          <w:tcPr/>
          <w:p>
            <w:pPr>
              <w:keepNext/>
              __KN__
              <w:pStyle w:val="Compact"/>
            </w:pPr>
            <w:r>
              <w:t xml:space="preserve">ΔAUC-PR (MLP−LR)</w:t>
            </w:r>
          </w:p>
        </w:tc>
        <w:tc>
          <w:tcPr/>
          <w:p>
            <w:pPr>
              <w:keepNext/>
              __KN__
              <w:pStyle w:val="Compact"/>
            </w:pPr>
            <w:r>
              <w:t xml:space="preserve">−0,046 [−0,111; +0,005]</w:t>
            </w:r>
          </w:p>
        </w:tc>
        <w:tc>
          <w:tcPr/>
          <w:p>
            <w:pPr>
              <w:keepNext/>
              __KN__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4"/>
    <w:bookmarkStart w:id="55"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novamente 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5"/>
    <w:bookmarkStart w:id="56"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6"/>
    <w:bookmarkStart w:id="60"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6,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CaptionLabel"/>
      </w:pPr>
      <w:r>
        <w:t xml:space="preserve">Figura 6</w:t>
      </w:r>
    </w:p>
    <w:p>
      <w:pPr>
        <w:pStyle w:val="CaptionText"/>
      </w:pPr>
      <w:r>
        <w:t xml:space="preserve">Sensibilidade mecânica do F1 à prevalência π com ponto de operação fixo (curvas em forma fechada; pontos = verificação Monte Carlo). O crescimento do F1 com π é propriedade da métrica, não melhoria do detector</w:t>
      </w:r>
    </w:p>
    <w:p>
      <w:pPr>
        <w:pStyle w:val="FigureImage"/>
      </w:pPr>
      <w:r>
        <w:drawing>
          <wp:inline>
            <wp:extent cx="5029200" cy="3291840"/>
            <wp:effectExtent b="0" l="0" r="0" t="0"/>
            <wp:docPr descr="" title="" id="58" name="Picture"/>
            <a:graphic>
              <a:graphicData uri="http://schemas.openxmlformats.org/drawingml/2006/picture">
                <pic:pic>
                  <pic:nvPicPr>
                    <pic:cNvPr descr="../../output/figures/fig5_prior_shift.png" id="59" name="Picture"/>
                    <pic:cNvPicPr>
                      <a:picLocks noChangeArrowheads="1" noChangeAspect="1"/>
                    </pic:cNvPicPr>
                  </pic:nvPicPr>
                  <pic:blipFill>
                    <a:blip r:embed="rId57"/>
                    <a:stretch>
                      <a:fillRect/>
                    </a:stretch>
                  </pic:blipFill>
                  <pic:spPr bwMode="auto">
                    <a:xfrm>
                      <a:off x="0" y="0"/>
                      <a:ext cx="5029200" cy="3291840"/>
                    </a:xfrm>
                    <a:prstGeom prst="rect">
                      <a:avLst/>
                    </a:prstGeom>
                    <a:noFill/>
                    <a:ln w="9525">
                      <a:noFill/>
                      <a:headEnd/>
                      <a:tailEnd/>
                    </a:ln>
                  </pic:spPr>
                </pic:pic>
              </a:graphicData>
            </a:graphic>
          </wp:inline>
        </w:drawing>
      </w:r>
    </w:p>
    <w:bookmarkEnd w:id="60"/>
    <w:bookmarkStart w:id="64" w:name="importância-por-permutação"/>
    <w:p>
      <w:pPr>
        <w:pStyle w:val="Heading3"/>
      </w:pPr>
      <w:r>
        <w:t xml:space="preserve">6.6. Importância por permutação</w:t>
      </w:r>
    </w:p>
    <w:p>
      <w:pPr>
        <w:pStyle w:val="FirstParagraph"/>
      </w:pPr>
      <w:r>
        <w:t xml:space="preserve">V14 domina a importância por permutação em validação (0,091 ± 0,013; Figura 7),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CaptionLabel"/>
      </w:pPr>
      <w:r>
        <w:t xml:space="preserve">Figura 7</w:t>
      </w:r>
    </w:p>
    <w:p>
      <w:pPr>
        <w:pStyle w:val="CaptionText"/>
      </w:pPr>
      <w:r>
        <w:t xml:space="preserve">Importância por permutação do MLP na validação (top 20, queda média de F1 ao permutar). V14 domina com ≈3× a segunda variável; o ranking secundário não é estável entre reexecuções</w:t>
      </w:r>
    </w:p>
    <w:p>
      <w:pPr>
        <w:pStyle w:val="FigureImage"/>
      </w:pPr>
      <w:r>
        <w:drawing>
          <wp:inline>
            <wp:extent cx="5029200" cy="4114800"/>
            <wp:effectExtent b="0" l="0" r="0" t="0"/>
            <wp:docPr descr="" title="" id="62" name="Picture"/>
            <a:graphic>
              <a:graphicData uri="http://schemas.openxmlformats.org/drawingml/2006/picture">
                <pic:pic>
                  <pic:nvPicPr>
                    <pic:cNvPr descr="../../output/figures/fig6_permutation_importance.png" id="63" name="Picture"/>
                    <pic:cNvPicPr>
                      <a:picLocks noChangeArrowheads="1" noChangeAspect="1"/>
                    </pic:cNvPicPr>
                  </pic:nvPicPr>
                  <pic:blipFill>
                    <a:blip r:embed="rId61"/>
                    <a:stretch>
                      <a:fillRect/>
                    </a:stretch>
                  </pic:blipFill>
                  <pic:spPr bwMode="auto">
                    <a:xfrm>
                      <a:off x="0" y="0"/>
                      <a:ext cx="5029200" cy="4114800"/>
                    </a:xfrm>
                    <a:prstGeom prst="rect">
                      <a:avLst/>
                    </a:prstGeom>
                    <a:noFill/>
                    <a:ln w="9525">
                      <a:noFill/>
                      <a:headEnd/>
                      <a:tailEnd/>
                    </a:ln>
                  </pic:spPr>
                </pic:pic>
              </a:graphicData>
            </a:graphic>
          </wp:inline>
        </w:drawing>
      </w:r>
    </w:p>
    <w:bookmarkEnd w:id="64"/>
    <w:bookmarkEnd w:id="65"/>
    <w:bookmarkStart w:id="66"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metacientífica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6"/>
    <w:bookmarkStart w:id="67"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 com 74 positivos, o poder para detectar gaps de F1 menores que ~0,05 é baixo, e a indistinguibilidade reportada deve ser lida sob essa restrição,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67"/>
    <w:bookmarkStart w:id="68"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bookmarkEnd w:id="68"/>
    <w:bookmarkStart w:id="69" w:name="referências"/>
    <w:p>
      <w:pPr>
        <w:pStyle w:val="Heading2"/>
        <w:pageBreakBefore/>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https://doi.org/10.48550/arXiv.2409.19751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https://doi.org/10.48550/arXiv.2103.03098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https://doi.org/10.48550/arXiv.2201.08528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https://doi.org/10.48550/arXiv.2207.08815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https://doi.org/10.48550/arXiv.2606.10393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https://doi.org/10.48550/arXiv.2412.07437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 Lecture Notes in Computer Science</w:t>
      </w:r>
      <w:r>
        <w:t xml:space="preserve"> </w:t>
      </w:r>
      <w:r>
        <w:t xml:space="preserve">(pp. 225–239). Springer. https://doi.org/10.1007/978-3-662-44851-9_15</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https://doi.org/10.48550/arXiv.2305.02997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https://doi.org/10.48550/arXiv.2606.14533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9"/>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2026-07-04T20:42:55Z</dcterms:created>
  <dcterms:modified xsi:type="dcterms:W3CDTF">2026-07-04T20:42:55Z</dcterms:modified>
</cp:coreProperties>
</file>

<file path=docProps/custom.xml><?xml version="1.0" encoding="utf-8"?>
<Properties xmlns="http://schemas.openxmlformats.org/officeDocument/2006/custom-properties" xmlns:vt="http://schemas.openxmlformats.org/officeDocument/2006/docPropsVTypes"/>
</file>