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Implementação de Ring Signatures e Endereços Furtivos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Whitepaper sobre ring signatures e enderecos furtivos para privacidade transacional em sistemas distribuidos. O problema central investigado e: Transparencia absoluta em blockchains publicas pode expor metadados sensiveis e comprometer fungibilidade. Adotou-se um desenho metodologico com foco em validade interna, comparabilidade e reproducibilidade: Revisao de primitives criptograficas com analise de seguranca, custos computacionais e requisitos de implementacao. Os resultados principais indicam que a combinacao de assinaturas em anel e stealth addresses melhora privacidade sem eliminar verificabilidade criptografica.. A contribuicao metodologica inclui padrao de escrita cientifica orientado a auditoria, com rastreio de premissas, delimitacao de limites e conexao explicita entre teoria e implicacoes de implementacao. O objetivo deste trabalho e avaliar de forma estruturada como "Implementação de Ring Signatures e Endereços Furtivos" pode gerar valor cientifico e operacional com rastreabilidade metodologica. Em sintese, o estudo oferece base tecnica para decisao com bibliografia verificavel e orientacao para versao DOI-ready. (Rivest, 2001).</w:t>
      </w:r>
    </w:p>
    <w:p>
      <w:pPr>
        <w:pStyle w:val="Heading1"/>
      </w:pPr>
      <w:r>
        <w:t>Abstract (EN)</w:t>
      </w:r>
    </w:p>
    <w:p>
      <w:r>
        <w:t>This article presents a reproducible, high-rigor synthesis of "Implementação de Ring Signatures e Endereços Furtivos" by aligning methodological traceability, interdisciplinary evidence, and operational recommendations for deployment contexts with explicit governance constraints. (Franklin, 2012).</w:t>
      </w:r>
    </w:p>
    <w:p>
      <w:r>
        <w:t>**Keywords:** RING; SIGNATURES; PRIVACY; reproducibility; Harvard references; whitepapers.</w:t>
      </w:r>
    </w:p>
    <w:p>
      <w:pPr>
        <w:pStyle w:val="Heading1"/>
      </w:pPr>
      <w:r>
        <w:t>1. Introduction</w:t>
      </w:r>
    </w:p>
    <w:p>
      <w:r>
        <w:t>No estado atual do tema, transparencia absoluta em blockchains publicas pode expor metadados sensiveis e comprometer fungibilidade. Whitepaper sobre ring signatures e enderecos furtivos para privacidade transacional em sistemas distribuidos. (Noether, 2015). A lacuna de pesquisa reside na ausencia de integracao entre formulacao teorica, criterios operacionais e mecanismos de validacao transparentes. O objetivo deste trabalho e avaliar de forma estruturada como "Implementação de Ring Signatures e Endereços Furtivos" pode gerar valor cientifico e operacional com rastreabilidade metodologica. (publications, 2026). Pergunta de pesquisa: Quais decisoes arquiteturais derivadas de "Implementação de Ring Signatures e Endereços Furtivos" maximizam resiliencia operacional sem comprometer seguranca, custo total de propriedade e auditabilidade? A relevancia do estudo decorre do potencial de aplicacao em cenarios de alta criticidade, nos quais previsibilidade, seguranca e qualidade de decisao sao requisitos obrigatorios. (Rev, 2026).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Revisao de primitives criptograficas com analise de seguranca, custos computacionais e requisitos de implementacao. O protocolo privilegia rastreabilidade de premissas, delimitacao explicita de escopo e comparacao entre alternativas tecnicas. (Franklin, 2012). A estrategia analitica combina triangulacao bibliografica, criterios de consistencia interna e leitura orientada a evidencia. Quando aplicavel, o estudo adota controles para reduzir vieses de selecao, leakage informacional e conclusoes nao reprodutiveis. (Noether, 2015). Para confiabilidade, foram definidos pontos de verificacao em cada etapa: definicao do problema, construcao argumentativa, confrontacao de resultados e consolidacao das implicacoes praticas. (publications, 2026).</w:t>
      </w:r>
    </w:p>
    <w:p>
      <w:pPr>
        <w:pStyle w:val="Heading2"/>
      </w:pPr>
      <w:r>
        <w:t>2.2 Development</w:t>
      </w:r>
    </w:p>
    <w:p>
      <w:r>
        <w:t>Resultado principal: A combinacao de assinaturas em anel e stealth addresses melhora privacidade sem eliminar verificabilidade criptografica. (Rivest, 2001). Contribuicoes diretas: Comparativo tecnico entre abordagens de anonimato em ledger publico. Diretrizes para integracao segura em stacks de producao. Mapa de riscos de implementacao e manutencao criptografica. (Franklin, 2012). Trade-offs principais envolvem tamanho de assinatura, custo de verificacao e complexidade operacional. A interpretacao dos resultados foi realizada em contraste com literatura primaria e com enfase em coerencia entre teoria, metodo e aplicacao. (Ruffing, 2017).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(Noether, 2015). Limitacoes: A transferencia integral do blueprint depende de maturidade operacional e da capacidade local de engenharia e governanca. Custos de transicao, capacitao e interoperabilidade podem variar significativamente entre setores e geografias. (Rivest, 2001).</w:t>
      </w:r>
    </w:p>
    <w:p>
      <w:pPr>
        <w:pStyle w:val="Heading2"/>
      </w:pPr>
      <w:r>
        <w:t>2.4 Recommendations</w:t>
      </w:r>
    </w:p>
    <w:p>
      <w:r>
        <w:t>Comparativo tecnico entre abordagens de anonimato em ledger publico. (Noether, 2015). Diretrizes para integracao segura em stacks de producao. (publications, 2026). Mapa de riscos de implementacao e manutencao criptografica. (Rev, 2026). Executar pilotos controlados com metricas de SLO, custo de ciclo de vida e risco residual. (Ruffing, 2017). Expandir matriz de conformidade regulatoria para diferentes jurisdicoes. (Rivest, 2001).</w:t>
      </w:r>
    </w:p>
    <w:p>
      <w:pPr>
        <w:pStyle w:val="Heading1"/>
      </w:pPr>
      <w:r>
        <w:t>3. Conclusion</w:t>
      </w:r>
    </w:p>
    <w:p>
      <w:r>
        <w:t>Uso em wallets, protocolos de pagamentos privados e infra de custodia com requisitos de compliance. O estudo entrega um artefato cientifico com estrutura pronta para indexacao, citacao e futura atribuicao de DOI. (Rev, 2026). Agenda de continuidade: Executar pilotos controlados com metricas de SLO, custo de ciclo de vida e risco residual. Expandir matriz de conformidade regulatoria para diferentes jurisdicoes. Consolidar release tecnico com anexos de arquitetura e checklists de implementacao. (Ruffing, 2017).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Rivest, R.; Shamir, A.; Tauman, Y. (2001). How to Leak a Secret. Available at: https://doi.org/10.1007/3-540-45682-1_32 (Accessed: 21 February 2026).</w:t>
      </w:r>
    </w:p>
    <w:p>
      <w:pPr>
        <w:pStyle w:val="ListParagraph"/>
      </w:pPr>
      <w:r>
        <w:t>- Franklin, M.; Zhang, H. (2012). A framework for unique ring signatures. Available at: https://doi.org/10.1007/978-3-642-28914-9_6 (Accessed: 21 February 2026).</w:t>
      </w:r>
    </w:p>
    <w:p>
      <w:pPr>
        <w:pStyle w:val="ListParagraph"/>
      </w:pPr>
      <w:r>
        <w:t>- Noether, S. (2015). Ring Confidential Transactions. Available at: https://eprint.iacr.org/2015/1098 (Accessed: 21 February 2026).</w:t>
      </w:r>
    </w:p>
    <w:p>
      <w:pPr>
        <w:pStyle w:val="ListParagraph"/>
      </w:pPr>
      <w:r>
        <w:t>- Monero Research Lab publications. Available at: https://www.getmonero.org/resources/research-lab/ (Accessed: 21 February 2026).</w:t>
      </w:r>
    </w:p>
    <w:p>
      <w:pPr>
        <w:pStyle w:val="ListParagraph"/>
      </w:pPr>
      <w:r>
        <w:t>- NIST SP 800-56A Rev. 3. Available at: https://doi.org/10.6028/NIST.SP.800-56Ar3 (Accessed: 21 February 2026).</w:t>
      </w:r>
    </w:p>
    <w:p>
      <w:pPr>
        <w:pStyle w:val="ListParagraph"/>
      </w:pPr>
      <w:r>
        <w:t>- Ruffing, T.; Moreno-Sanchez, P.; Kate, A. (2017). CoinShuffle++. Available at: https://doi.org/10.1109/EuroSP.2017.47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10.5281/zenodo.202418</w:t>
      </w:r>
    </w:p>
    <w:p>
      <w:pPr>
        <w:pStyle w:val="ListParagraph"/>
      </w:pPr>
      <w:r>
        <w:t>- Canonical citation seed: Rivest, 2001; Franklin, 2012; Noether, 2015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Implementação de Ring Signatures e Endereços Furtivos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