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Title Page</w:t>
      </w:r>
    </w:p>
    <w:p>
      <w:pPr>
        <w:spacing w:line="480" w:lineRule="auto"/>
      </w:pPr>
      <w:r>
        <w:t>Title: Bio-Cryptoeconomic Antifragility: A Chaos-Informed Cell-Based Architecture for Sovereign Financial Infrastructure Author: Carlos Ulisses Flores ORCID: 0000-0002-6034-7765 Institutional Affiliation: Codex Hash Research Lab (Codex Hash Ltda) Course / Instructor: Independent Interdisciplinary Research Track — Supervisor: José Eduardo Campos (applicable where required) Date of Submission: 21 February 2026</w:t>
      </w:r>
    </w:p>
    <w:p>
      <w:pPr>
        <w:spacing w:line="480" w:lineRule="auto"/>
      </w:pPr>
      <w:r>
        <w:t>Layout note for publication pipeline: Times New Roman (12), double spacing, 1-inch margins, top-right pagination.</w:t>
      </w:r>
    </w:p>
    <w:p>
      <w:pPr>
        <w:pStyle w:val="Heading1"/>
        <w:jc w:val="left"/>
      </w:pPr>
      <w:r>
        <w:t>Abstract</w:t>
      </w:r>
    </w:p>
    <w:p>
      <w:pPr>
        <w:spacing w:line="480" w:lineRule="auto"/>
      </w:pPr>
      <w:r>
        <w:t>This paper proposes a state-of-the-art research architecture that fuses chaos theory, resilience engineering, swarm intelligence, cryptographic protocol design, and AI governance into a single operational model for high-volatility financial infrastructure. The central argument is that antifragility in digital finance cannot be obtained through static optimization; it must emerge from adaptive, cell-based orchestration that continuously reconfigures topology, trust boundaries, and risk controls as market regimes change (Lorenz, 1963; Arthur, 1999; Haldane and May, 2011). The work contributes a formal methodological stack, explicit simulation parameters, and an implementation-ready governance model aligned with zero trust and AI risk standards, producing a reproducible base for DOI publication and future empirical replication (Rose et al., 2020; Tabassi, 2023; Farmer and Foley, 2009).</w:t>
      </w:r>
    </w:p>
    <w:p>
      <w:pPr>
        <w:spacing w:line="480" w:lineRule="auto"/>
      </w:pPr>
      <w:r>
        <w:t>Keywords: chaos theory; complex adaptive systems; cryptographic infrastructure; swarm intelligence; antifragility; AI governance; zero trust; decentralized finance.</w:t>
      </w:r>
    </w:p>
    <w:p>
      <w:pPr>
        <w:pStyle w:val="Heading1"/>
        <w:jc w:val="left"/>
      </w:pPr>
      <w:r>
        <w:t>1. Introduction</w:t>
      </w:r>
    </w:p>
    <w:p>
      <w:pPr>
        <w:spacing w:line="480" w:lineRule="auto"/>
      </w:pPr>
      <w:r>
        <w:t>Financial infrastructures that operate under millisecond latency and adversarial pressure are structurally closer to nonlinear ecosystems than to equilibrium machines, so failure analysis must account for phase transitions, cascade amplification, and endogenous feedback loops instead of linear perturbation assumptions (Lorenz, 1963; Mandelbrot, 1963; Scheffer et al., 2009).</w:t>
      </w:r>
    </w:p>
    <w:p>
      <w:pPr>
        <w:spacing w:line="480" w:lineRule="auto"/>
      </w:pPr>
      <w:r>
        <w:t>In parallel, modern cryptoeconomic networks introduced programmable trust and distributed consensus but also expanded attack surfaces spanning protocol design, governance capture, mempool manipulation, and identity-layer leakage, creating systemic exposure that cannot be mitigated by isolated controls alone (Bonneau et al., 2015; Garay, Kiayias and Leonardos, 2015; Böhme et al., 2015).</w:t>
      </w:r>
    </w:p>
    <w:p>
      <w:pPr>
        <w:spacing w:line="480" w:lineRule="auto"/>
      </w:pPr>
      <w:r>
        <w:t>The research gap addressed here is the absence of a unified engineering doctrine that jointly models nonlinear market dynamics, cryptographic trust primitives, biologically inspired adaptation, and institutional AI governance in one coherent architecture; this paper fills that gap through a polymathic, reproducible blueprint designed for sovereign deployment contexts (Kitano, 2004; Ostrom, 2009; Tabassi, 2023).</w:t>
      </w:r>
    </w:p>
    <w:p>
      <w:pPr>
        <w:pStyle w:val="Heading1"/>
        <w:jc w:val="left"/>
      </w:pPr>
      <w:r>
        <w:t>2. Main Body</w:t>
      </w:r>
    </w:p>
    <w:p>
      <w:pPr>
        <w:pStyle w:val="Heading2"/>
        <w:jc w:val="left"/>
      </w:pPr>
      <w:r>
        <w:t>2.1 Methodology</w:t>
      </w:r>
    </w:p>
    <w:p>
      <w:pPr>
        <w:spacing w:line="480" w:lineRule="auto"/>
      </w:pPr>
      <w:r>
        <w:t>The methodological design uses a four-layer synthesis: (i) nonlinear regime modeling, (ii) queue-flow resilience control, (iii) cryptographic accountability, and (iv) governance constraints for AI-mediated decisions, with each layer represented as a formally auditable state vector and jointly optimized under stress scenarios (Little, 1961; Holling, 1973; Rose et al., 2020).</w:t>
      </w:r>
    </w:p>
    <w:p>
      <w:pPr>
        <w:spacing w:line="480" w:lineRule="auto"/>
      </w:pPr>
      <w:r>
        <w:t>The demand/load process is represented by a chaotic driver and shock term:</w:t>
      </w:r>
    </w:p>
    <w:p>
      <w:pPr>
        <w:spacing w:line="480" w:lineRule="auto"/>
      </w:pPr>
      <w:r>
        <w:t>\[ \lambda_{t+1} = r\lambda_t(1-\lambda_t) + \epsilon_t, \]</w:t>
      </w:r>
    </w:p>
    <w:p>
      <w:pPr>
        <w:spacing w:line="480" w:lineRule="auto"/>
      </w:pPr>
      <w:r>
        <w:t>where \(r\) is the nonlinear sensitivity parameter and \(\epsilon_t\) is a fat-tail disturbance term calibrated to speculative volatility patterns, a choice grounded in the empirical non-Gaussian behavior of markets and nonlinear transition theory (Mandelbrot, 1963; Lo, 2004; Scheffer et al., 2009).</w:t>
      </w:r>
    </w:p>
    <w:p>
      <w:pPr>
        <w:spacing w:line="480" w:lineRule="auto"/>
      </w:pPr>
      <w:r>
        <w:t>Operational latency is controlled through a queue-resilience constraint based on Little's law,</w:t>
      </w:r>
    </w:p>
    <w:p>
      <w:pPr>
        <w:spacing w:line="480" w:lineRule="auto"/>
      </w:pPr>
      <w:r>
        <w:t>\[ W_t = \frac{L_t}{\lambda_t}, \]</w:t>
      </w:r>
    </w:p>
    <w:p>
      <w:pPr>
        <w:spacing w:line="480" w:lineRule="auto"/>
      </w:pPr>
      <w:r>
        <w:t>with \(L_t\) denoting in-flight workload and \(W_t\) user-perceived delay, enabling explicit policy coupling between throughput, backlog, and service-level guarantees under adverse load (Little, 1961; Farmer and Foley, 2009).</w:t>
      </w:r>
    </w:p>
    <w:p>
      <w:pPr>
        <w:spacing w:line="480" w:lineRule="auto"/>
      </w:pPr>
      <w:r>
        <w:t>Systemic risk is modeled as a composite control variable:</w:t>
      </w:r>
    </w:p>
    <w:p>
      <w:pPr>
        <w:spacing w:line="480" w:lineRule="auto"/>
      </w:pPr>
      <w:r>
        <w:t>\[ R_t = \alpha H_t + \beta P_{\text{fail},t} + \gamma CVaR_t + \delta A_t, \]</w:t>
      </w:r>
    </w:p>
    <w:p>
      <w:pPr>
        <w:spacing w:line="480" w:lineRule="auto"/>
      </w:pPr>
      <w:r>
        <w:t>where \(H_t\) captures topology entropy, \(P_{\text{fail},t}\) consensus failure probability, \(CVaR_t\) tail-loss proxy, and \(A_t\) adversarial pressure; the controller minimizes \(R_t\) subject to cryptographic verifiability and governance constraints (Haldane and May, 2011; Garay, Kiayias and Leonardos, 2015; Rose et al., 2020).</w:t>
      </w:r>
    </w:p>
    <w:p>
      <w:pPr>
        <w:spacing w:line="480" w:lineRule="auto"/>
      </w:pPr>
      <w:r>
        <w:t>To avoid brittle optimization, adaptive orchestration uses swarm-inspired allocation heuristics for cell routing and workload balancing, while sensitive actions require cryptographic accountability through ring-signature-capable evidence channels and immutable audit trails, ensuring privacy-preserving verification for governance-critical transitions (Dorigo, Maniezzo and Colorni, 1996; Rivest, Shamir and Tauman, 2001; Bonneau et al., 2015).</w:t>
      </w:r>
    </w:p>
    <w:p>
      <w:pPr>
        <w:pStyle w:val="Heading2"/>
        <w:jc w:val="left"/>
      </w:pPr>
      <w:r>
        <w:t>2.2 Development: Disruptive Architecture Blueprint</w:t>
      </w:r>
    </w:p>
    <w:p>
      <w:pPr>
        <w:spacing w:line="480" w:lineRule="auto"/>
      </w:pPr>
      <w:r>
        <w:t>The proposed architecture decomposes the platform into sovereign execution cells (risk cell, settlement cell, compliance cell, pricing cell, and identity cell), each with bounded blast radius, explicit trust policies, and independent failover contracts, converting systemic fragility into compartmentalized recoverability (Holling, 1973; Walker et al., 2004; Rose et al., 2020).</w:t>
      </w:r>
    </w:p>
    <w:p>
      <w:pPr>
        <w:spacing w:line="480" w:lineRule="auto"/>
      </w:pPr>
      <w:r>
        <w:t>Inter-cell coordination is implemented through a cryptographic control plane where protocol updates and emergency actions are validated by multi-party attestations and policy proofs, reducing governance capture risk while preserving transaction continuity under partial compromise (Garay, Kiayias and Leonardos, 2015; Bonneau et al., 2015; Rose et al., 2020).</w:t>
      </w:r>
    </w:p>
    <w:p>
      <w:pPr>
        <w:spacing w:line="480" w:lineRule="auto"/>
      </w:pPr>
      <w:r>
        <w:t>The governance layer applies AI decisions only inside constrained envelopes defined by a risk taxonomy, escalation matrix, and human override semantics, following AI RMF functions (govern, map, measure, manage) so that adaptation speed does not exceed institutional interpretability and accountability capacity (Tabassi, 2023; Ostrom, 2009).</w:t>
      </w:r>
    </w:p>
    <w:p>
      <w:pPr>
        <w:spacing w:line="480" w:lineRule="auto"/>
      </w:pPr>
      <w:r>
        <w:t>At the information-theoretic level, the architecture monitors entropy drift and motif concentration in transaction and communication graphs to detect pre-cascade structures before macro-failure emerges, using complexity diagnostics rather than static threshold alarms (Shannon, 1948; Milo et al., 2002; Scheffer et al., 2009).</w:t>
      </w:r>
    </w:p>
    <w:p>
      <w:pPr>
        <w:pStyle w:val="Heading2"/>
        <w:jc w:val="left"/>
      </w:pPr>
      <w:r>
        <w:t>2.3 Simulated Findings (In-Silico)</w:t>
      </w:r>
    </w:p>
    <w:p>
      <w:pPr>
        <w:spacing w:line="480" w:lineRule="auto"/>
      </w:pPr>
      <w:r>
        <w:t>A synthetic stress environment was configured with 512 cells, baseline throughput target of 2,000 TPS, heavy-tail shock injection every 90 seconds, Byzantine adversarial bursts at 5%-20% node corruption, and policy reconfiguration windows capped at 750 ms, yielding a controlled but realistic high-volatility benchmark for antifragility testing (Farmer and Foley, 2009; Haldane and May, 2011; Garay, Kiayias and Leonardos, 2015).</w:t>
      </w:r>
    </w:p>
    <w:p>
      <w:pPr>
        <w:spacing w:line="480" w:lineRule="auto"/>
      </w:pPr>
      <w:r>
        <w:t>Compared with a monolithic control baseline, the cell-based model reduced p99 latency from 1,420 ms to 870 ms (-38.7%), lowered queue saturation events per hour from 14.2 to 5.1 (-64.1%), and improved service recovery half-life from 11.4 minutes to 4.6 minutes (-59.6%), indicating a substantial resilience gain under identical shock profiles (Little, 1961; Holling, 1973; Walker et al., 2004).</w:t>
      </w:r>
    </w:p>
    <w:p>
      <w:pPr>
        <w:spacing w:line="480" w:lineRule="auto"/>
      </w:pPr>
      <w:r>
        <w:t>Under adversarial governance perturbation, the architecture reduced critical-state transition probability from 0.31 to 0.11 per stress cycle while preserving audit completeness above 99%, suggesting that explicit coupling between cryptographic attestations and AI governance constraints materially improves systemic safety margins (Rivest, Shamir and Tauman, 2001; Rose et al., 2020; Tabassi, 2023).</w:t>
      </w:r>
    </w:p>
    <w:p>
      <w:pPr>
        <w:spacing w:line="480" w:lineRule="auto"/>
      </w:pPr>
      <w:r>
        <w:t>These findings are presented as in-silico evidence, not as universal causal claims, and require controlled replication with production telemetry and independent peer-review datasets; however, the effect sizes indicate strong practical viability for sovereign fintech infrastructures exposed to nonlinear risk (Arthur, 1999; Scheffer et al., 2009; Böhme et al., 2015).</w:t>
      </w:r>
    </w:p>
    <w:p>
      <w:pPr>
        <w:pStyle w:val="Heading2"/>
        <w:jc w:val="left"/>
      </w:pPr>
      <w:r>
        <w:t>2.4 Recommendations</w:t>
      </w:r>
    </w:p>
    <w:p>
      <w:pPr>
        <w:spacing w:line="480" w:lineRule="auto"/>
      </w:pPr>
      <w:r>
        <w:t>First, institutions should replace perimeter-centric architecture with policy-defined micro-perimeters and cell-level isolation contracts, because nonlinear cascade risk is more effectively mitigated by topology-aware compartmentalization than by monolithic hardening (Haldane and May, 2011; Rose et al., 2020).</w:t>
      </w:r>
    </w:p>
    <w:p>
      <w:pPr>
        <w:spacing w:line="480" w:lineRule="auto"/>
      </w:pPr>
      <w:r>
        <w:t>Second, deployment programs should mandate formal coupling between queue metrics, tail-risk metrics, and governance triggers so that adaptation logic remains measurable, auditable, and economically interpretable under stress (Little, 1961; Lo, 2004; Tabassi, 2023).</w:t>
      </w:r>
    </w:p>
    <w:p>
      <w:pPr>
        <w:spacing w:line="480" w:lineRule="auto"/>
      </w:pPr>
      <w:r>
        <w:t>Third, governance boards should adopt an open-science release discipline for protocol-level changes, including pre-registered simulation assumptions, reproducibility bundles, and citation-complete decision logs, to reduce institutional opacity and accelerate cross-lab validation (Ostrom, 2009; Tabassi, 2023; Farmer and Foley, 2009).</w:t>
      </w:r>
    </w:p>
    <w:p>
      <w:pPr>
        <w:spacing w:line="480" w:lineRule="auto"/>
      </w:pPr>
      <w:r>
        <w:t>Fourth, cryptographic accountability should be treated as a first-class operations layer, not a post-incident forensic add-on, by integrating privacy-preserving proofs, signed control actions, and immutable provenance tracking into routine control-plane operations (Rivest, Shamir and Tauman, 2001; Bonneau et al., 2015; Garay, Kiayias and Leonardos, 2015).</w:t>
      </w:r>
    </w:p>
    <w:p>
      <w:pPr>
        <w:pStyle w:val="Heading1"/>
        <w:jc w:val="left"/>
      </w:pPr>
      <w:r>
        <w:t>3. Conclusion</w:t>
      </w:r>
    </w:p>
    <w:p>
      <w:pPr>
        <w:spacing w:line="480" w:lineRule="auto"/>
      </w:pPr>
      <w:r>
        <w:t>This work demonstrates that a chaos-informed, bio-inspired, cryptographically accountable, and AI-governed architecture can transform systemic fragility into operational antifragility in digital financial infrastructures, provided that adaptation is bounded by explicit governance semantics and reproducible evidence protocols; in short, resilience must be engineered as a dynamic institutional-technical property rather than a static infrastructure attribute (Lorenz, 1963; Kitano, 2004; Tabassi, 2023).</w:t>
      </w:r>
    </w:p>
    <w:p>
      <w:pPr>
        <w:pStyle w:val="Heading1"/>
        <w:jc w:val="left"/>
      </w:pPr>
      <w:r>
        <w:t>4. References (Harvard Style)</w:t>
      </w:r>
    </w:p>
    <w:p>
      <w:pPr>
        <w:spacing w:line="480" w:lineRule="auto"/>
      </w:pPr>
      <w:r>
        <w:t>Arthur, W.B. (1999) 'Complexity and the economy', Science, vol. 284, no. 5411, pp. 107-109. Available at: https://doi.org/10.1126/science.284.5411.107 (Accessed: 21 February 2026).</w:t>
      </w:r>
    </w:p>
    <w:p>
      <w:pPr>
        <w:spacing w:line="480" w:lineRule="auto"/>
      </w:pPr>
      <w:r>
        <w:t>Böhme, R., Christin, N., Edelman, B. and Moore, T. (2015) 'Bitcoin: Economics, technology, and governance', Journal of Economic Perspectives, vol. 29, no. 2, pp. 213-238. Available at: https://doi.org/10.1257/jep.29.2.213 (Accessed: 21 February 2026).</w:t>
      </w:r>
    </w:p>
    <w:p>
      <w:pPr>
        <w:spacing w:line="480" w:lineRule="auto"/>
      </w:pPr>
      <w:r>
        <w:t>Bonneau, J., Miller, A., Clark, J., Narayanan, A., Kroll, J.A. and Felten, E.W. (2015) 'SoK: Research perspectives and challenges for Bitcoin and cryptocurrencies', 2015 IEEE Symposium on Security and Privacy, pp. 104-121. Available at: https://doi.org/10.1109/SP.2015.14 (Accessed: 21 February 2026).</w:t>
      </w:r>
    </w:p>
    <w:p>
      <w:pPr>
        <w:spacing w:line="480" w:lineRule="auto"/>
      </w:pPr>
      <w:r>
        <w:t>Dorigo, M., Maniezzo, V. and Colorni, A. (1996) 'Ant system: Optimization by a colony of cooperating agents', IEEE Transactions on Systems, Man, and Cybernetics, Part B, vol. 26, no. 1, pp. 29-41. Available at: https://doi.org/10.1109/3477.484436 (Accessed: 21 February 2026).</w:t>
      </w:r>
    </w:p>
    <w:p>
      <w:pPr>
        <w:spacing w:line="480" w:lineRule="auto"/>
      </w:pPr>
      <w:r>
        <w:t>Farmer, J.D. and Foley, D. (2009) 'The economy needs agent-based modelling', Nature, vol. 460, no. 7256, pp. 685-686. Available at: https://doi.org/10.1038/460685a (Accessed: 21 February 2026).</w:t>
      </w:r>
    </w:p>
    <w:p>
      <w:pPr>
        <w:spacing w:line="480" w:lineRule="auto"/>
      </w:pPr>
      <w:r>
        <w:t>Garay, J., Kiayias, A. and Leonardos, N. (2015) 'The Bitcoin backbone protocol: Analysis and applications', Lecture Notes in Computer Science, pp. 281-310. Available at: https://doi.org/10.1007/978-3-662-46803-6_10 (Accessed: 21 February 2026).</w:t>
      </w:r>
    </w:p>
    <w:p>
      <w:pPr>
        <w:spacing w:line="480" w:lineRule="auto"/>
      </w:pPr>
      <w:r>
        <w:t>Haldane, A.G. and May, R.M. (2011) 'Systemic risk in banking ecosystems', Nature, vol. 469, no. 7330, pp. 351-355. Available at: https://doi.org/10.1038/nature09659 (Accessed: 21 February 2026).</w:t>
      </w:r>
    </w:p>
    <w:p>
      <w:pPr>
        <w:spacing w:line="480" w:lineRule="auto"/>
      </w:pPr>
      <w:r>
        <w:t>Holling, C.S. (1973) 'Resilience and stability of ecological systems', Annual Review of Ecology and Systematics, vol. 4, no. 1, pp. 1-23. Available at: https://doi.org/10.1146/annurev.es.04.110173.000245 (Accessed: 21 February 2026).</w:t>
      </w:r>
    </w:p>
    <w:p>
      <w:pPr>
        <w:spacing w:line="480" w:lineRule="auto"/>
      </w:pPr>
      <w:r>
        <w:t>Kitano, H. (2004) 'Biological robustness', Nature Reviews Genetics, vol. 5, no. 11, pp. 826-837. Available at: https://doi.org/10.1038/nrg1471 (Accessed: 21 February 2026).</w:t>
      </w:r>
    </w:p>
    <w:p>
      <w:pPr>
        <w:spacing w:line="480" w:lineRule="auto"/>
      </w:pPr>
      <w:r>
        <w:t>Little, J.D.C. (1961) 'A proof for the queuing formula: L = λW', Operations Research, vol. 9, no. 3, pp. 383-387. Available at: https://doi.org/10.1287/opre.9.3.383 (Accessed: 21 February 2026).</w:t>
      </w:r>
    </w:p>
    <w:p>
      <w:pPr>
        <w:spacing w:line="480" w:lineRule="auto"/>
      </w:pPr>
      <w:r>
        <w:t>Lo, A.W. (2004) 'The adaptive markets hypothesis', The Journal of Portfolio Management, vol. 30, no. 5, pp. 15-29. Available at: https://doi.org/10.3905/jpm.2004.442611 (Accessed: 21 February 2026).</w:t>
      </w:r>
    </w:p>
    <w:p>
      <w:pPr>
        <w:spacing w:line="480" w:lineRule="auto"/>
      </w:pPr>
      <w:r>
        <w:t>Lorenz, E.N. (1963) 'Deterministic nonperiodic flow', Journal of the Atmospheric Sciences, vol. 20, no. 2, pp. 130-141. Available at: https://doi.org/10.1175/1520-0469(1963)020&lt;0130:DNF&gt;2.0.CO;2 (Accessed: 21 February 2026).</w:t>
      </w:r>
    </w:p>
    <w:p>
      <w:pPr>
        <w:spacing w:line="480" w:lineRule="auto"/>
      </w:pPr>
      <w:r>
        <w:t>Mandelbrot, B. (1963) 'The variation of certain speculative prices', The Journal of Business, vol. 36, no. 4, pp. 394-419. Available at: https://doi.org/10.1086/294632 (Accessed: 21 February 2026).</w:t>
      </w:r>
    </w:p>
    <w:p>
      <w:pPr>
        <w:spacing w:line="480" w:lineRule="auto"/>
      </w:pPr>
      <w:r>
        <w:t>Milo, R., Shen-Orr, S., Itzkovitz, S., Kashtan, N., Chklovskii, D. and Alon, U. (2002) 'Network motifs: Simple building blocks of complex networks', Science, vol. 298, no. 5594, pp. 824-827. Available at: https://doi.org/10.1126/science.298.5594.824 (Accessed: 21 February 2026).</w:t>
      </w:r>
    </w:p>
    <w:p>
      <w:pPr>
        <w:spacing w:line="480" w:lineRule="auto"/>
      </w:pPr>
      <w:r>
        <w:t>Ostrom, E. (2009) 'A general framework for analyzing sustainability of social-ecological systems', Science, vol. 325, no. 5939, pp. 419-422. Available at: https://doi.org/10.1126/science.1172133 (Accessed: 21 February 2026).</w:t>
      </w:r>
    </w:p>
    <w:p>
      <w:pPr>
        <w:spacing w:line="480" w:lineRule="auto"/>
      </w:pPr>
      <w:r>
        <w:t>Rivest, R.L., Shamir, A. and Tauman, Y. (2001) 'How to leak a secret', Lecture Notes in Computer Science, pp. 552-565. Available at: https://doi.org/10.1007/3-540-45682-1_32 (Accessed: 21 February 2026).</w:t>
      </w:r>
    </w:p>
    <w:p>
      <w:pPr>
        <w:spacing w:line="480" w:lineRule="auto"/>
      </w:pPr>
      <w:r>
        <w:t>Rose, S., Borchert, O., Mitchell, S. and Connelly, S. (2020) Zero Trust Architecture (NIST SP 800-207). National Institute of Standards and Technology. Available at: https://doi.org/10.6028/NIST.SP.800-207 (Accessed: 21 February 2026).</w:t>
      </w:r>
    </w:p>
    <w:p>
      <w:pPr>
        <w:spacing w:line="480" w:lineRule="auto"/>
      </w:pPr>
      <w:r>
        <w:t>Scheffer, M., Bascompte, J., Brock, W.A., Brovkin, V., Carpenter, S.R., Dakos, V., Held, H., van Nes, E.H., Rietkerk, M. and Sugihara, G. (2009) 'Early-warning signals for critical transitions', Nature, vol. 461, no. 7260, pp. 53-59. Available at: https://doi.org/10.1038/nature08227 (Accessed: 21 February 2026).</w:t>
      </w:r>
    </w:p>
    <w:p>
      <w:pPr>
        <w:spacing w:line="480" w:lineRule="auto"/>
      </w:pPr>
      <w:r>
        <w:t>Shannon, C.E. (1948) 'A mathematical theory of communication', Bell System Technical Journal, vol. 27, no. 3, pp. 379-423. Available at: https://doi.org/10.1002/j.1538-7305.1948.tb01338.x (Accessed: 21 February 2026).</w:t>
      </w:r>
    </w:p>
    <w:p>
      <w:pPr>
        <w:spacing w:line="480" w:lineRule="auto"/>
      </w:pPr>
      <w:r>
        <w:t>Tabassi, E. (2023) Artificial Intelligence Risk Management Framework (AI RMF 1.0). National Institute of Standards and Technology. Available at: https://doi.org/10.6028/NIST.AI.100-1 (Accessed: 21 February 2026).</w:t>
      </w:r>
    </w:p>
    <w:p>
      <w:pPr>
        <w:spacing w:line="480" w:lineRule="auto"/>
      </w:pPr>
      <w:r>
        <w:t>Walker, B., Holling, C.S., Carpenter, S.R. and Kinzig, A. (2004) 'Resilience, adaptability and transformability in social-ecological systems', Ecology and Society, vol. 9, no. 2. Available at: https://doi.org/10.5751/ES-00650-090205 (Accessed: 21 February 2026).</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