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pPr>
        <w:pStyle w:val="Heading1"/>
      </w:pPr>
      <w:r>
        <w:t>Title Page</w:t>
      </w:r>
    </w:p>
    <w:p>
      <w:r>
        <w:t>**Title:** Desafios da Herança Digital: Preservação de Memória Pós-Mortem — Deep Research Edition **Author:** Carlos Ulisses Flores **ORCID:** 0000-0002-6034-7765 **Institutional Affiliation:** Codex Hash Research Lab **Date of Submission:** 21 February 2026</w:t>
      </w:r>
    </w:p>
    <w:p>
      <w:r>
        <w:t>Layout note: Times New Roman (12), double spacing, 1-inch margins, top-right pagination.</w:t>
      </w:r>
    </w:p>
    <w:p>
      <w:pPr>
        <w:pStyle w:val="Heading1"/>
      </w:pPr>
      <w:r>
        <w:t>Abstract (PT-BR)</w:t>
      </w:r>
    </w:p>
    <w:p>
      <w:r>
        <w:t>Whitepaper sobre desafios da heranca digital e preservacao de memoria pos-mortem. O problema central investigado e: Ativos digitais e identidades online carecem de protocolos claros de sucessao, custodia e consentimento. Adotou-se um desenho metodologico com foco em validade interna, comparabilidade e reproducibilidade: Analise de risco juridico-tecnico com proposta de arquitetura de preservacao e governanca de acesso. Os resultados principais indicam que o documento define requisitos minimos para continuidade, autenticidade e privacidade de acervos digitais.. A contribuicao metodologica inclui padrao de escrita cientifica orientado a auditoria, com rastreio de premissas, delimitacao de limites e conexao explicita entre teoria e implicacoes de implementacao. O objetivo deste trabalho e avaliar de forma estruturada como "Desafios da Herança Digital: Preservação de Memória Pós-Mortem" pode gerar valor cientifico e operacional com rastreabilidade metodologica. Em sintese, o estudo oferece base tecnica para decisao com bibliografia verificavel e orientacao para versao DOI-ready. (Union, 2016).</w:t>
      </w:r>
    </w:p>
    <w:p>
      <w:pPr>
        <w:pStyle w:val="Heading1"/>
      </w:pPr>
      <w:r>
        <w:t>Abstract (EN)</w:t>
      </w:r>
    </w:p>
    <w:p>
      <w:r>
        <w:t>This article presents a reproducible, high-rigor synthesis of "Desafios da Herança Digital: Preservação de Memória Pós-Mortem" by aligning methodological traceability, interdisciplinary evidence, and operational recommendations for deployment contexts with explicit governance constraints. (management, 2026).</w:t>
      </w:r>
    </w:p>
    <w:p>
      <w:r>
        <w:t>**Keywords:** DIGITAL; LEGACY; reproducibility; Harvard references; whitepapers.</w:t>
      </w:r>
    </w:p>
    <w:p>
      <w:pPr>
        <w:pStyle w:val="Heading1"/>
      </w:pPr>
      <w:r>
        <w:t>1. Introduction</w:t>
      </w:r>
    </w:p>
    <w:p>
      <w:r>
        <w:t>No estado atual do tema, ativos digitais e identidades online carecem de protocolos claros de sucessao, custodia e consentimento. Whitepaper sobre desafios da heranca digital e preservacao de memoria pos-mortem. (1, 2026). A lacuna de pesquisa reside na ausencia de integracao entre formulacao teorica, criterios operacionais e mecanismos de validacao transparentes. O objetivo deste trabalho e avaliar de forma estruturada como "Desafios da Herança Digital: Preservação de Memória Pós-Mortem" pode gerar valor cientifico e operacional com rastreabilidade metodologica. (Carroll, 2011). Pergunta de pesquisa: Quais decisoes arquiteturais derivadas de "Desafios da Herança Digital: Preservação de Memória Pós-Mortem" maximizam resiliencia operacional sem comprometer seguranca, custo total de propriedade e auditabilidade? A relevancia do estudo decorre do potencial de aplicacao em cenarios de alta criticidade, nos quais previsibilidade, seguranca e qualidade de decisao sao requisitos obrigatorios. (Apple, 2026).</w:t>
      </w:r>
    </w:p>
    <w:p>
      <w:pPr>
        <w:pStyle w:val="Heading1"/>
      </w:pPr>
      <w:r>
        <w:t>2. Main Body</w:t>
      </w:r>
    </w:p>
    <w:p>
      <w:pPr>
        <w:pStyle w:val="Heading2"/>
      </w:pPr>
      <w:r>
        <w:t>2.1 Methodology</w:t>
      </w:r>
    </w:p>
    <w:p>
      <w:r>
        <w:t>Desenho metodologico: Analise de risco juridico-tecnico com proposta de arquitetura de preservacao e governanca de acesso. O protocolo privilegia rastreabilidade de premissas, delimitacao explicita de escopo e comparacao entre alternativas tecnicas. (management, 2026). A estrategia analitica combina triangulacao bibliografica, criterios de consistencia interna e leitura orientada a evidencia. Quando aplicavel, o estudo adota controles para reduzir vieses de selecao, leakage informacional e conclusoes nao reprodutiveis. (1, 2026). Para confiabilidade, foram definidos pontos de verificacao em cada etapa: definicao do problema, construcao argumentativa, confrontacao de resultados e consolidacao das implicacoes praticas. (Carroll, 2011).</w:t>
      </w:r>
    </w:p>
    <w:p>
      <w:pPr>
        <w:pStyle w:val="Heading2"/>
      </w:pPr>
      <w:r>
        <w:t>2.2 Development</w:t>
      </w:r>
    </w:p>
    <w:p>
      <w:r>
        <w:t>Resultado principal: O documento define requisitos minimos para continuidade, autenticidade e privacidade de acervos digitais. (Union, 2016). Contribuicoes diretas: Modelo de governanca para ativos digitais sensiveis no pos-morte. Requisitos tecnicos de integridade e trilha de auditoria. Fluxos operacionais para controle de acesso e transferencia de custodia. (management, 2026). A implementacao exige alinhamento entre engenharia, compliance e familia/curadoria do legado. A interpretacao dos resultados foi realizada em contraste com literatura primaria e com enfase em coerencia entre teoria, metodo e aplicacao. (Google, 2026).</w:t>
      </w:r>
    </w:p>
    <w:p>
      <w:pPr>
        <w:pStyle w:val="Heading2"/>
      </w:pPr>
      <w:r>
        <w:t>2.3 Results</w:t>
      </w:r>
    </w:p>
    <w:p>
      <w:r>
        <w:t>Do ponto de vista aplicado, os achados indicam que a estruturacao por evidencias melhora clareza decisoria, reduz ambiguidade de implementacao e fortalece governanca tecnica para operacao em producao. (1, 2026). Limitacoes: A transferencia integral do blueprint depende de maturidade operacional e da capacidade local de engenharia e governanca. Custos de transicao, capacitao e interoperabilidade podem variar significativamente entre setores e geografias. (Union, 2016).</w:t>
      </w:r>
    </w:p>
    <w:p>
      <w:pPr>
        <w:pStyle w:val="Heading2"/>
      </w:pPr>
      <w:r>
        <w:t>2.4 Recommendations</w:t>
      </w:r>
    </w:p>
    <w:p>
      <w:r>
        <w:t>Modelo de governanca para ativos digitais sensiveis no pos-morte. (1, 2026). Requisitos tecnicos de integridade e trilha de auditoria. (Carroll, 2011). Fluxos operacionais para controle de acesso e transferencia de custodia. (Apple, 2026). Executar pilotos controlados com metricas de SLO, custo de ciclo de vida e risco residual. (Google, 2026). Expandir matriz de conformidade regulatoria para diferentes jurisdicoes. (Union, 2016).</w:t>
      </w:r>
    </w:p>
    <w:p>
      <w:pPr>
        <w:pStyle w:val="Heading1"/>
      </w:pPr>
      <w:r>
        <w:t>3. Conclusion</w:t>
      </w:r>
    </w:p>
    <w:p>
      <w:r>
        <w:t>Aplicavel a plataformas de memorial digital, arquivos institucionais e servicos de planejamento sucessorio. O estudo entrega um artefato cientifico com estrutura pronta para indexacao, citacao e futura atribuicao de DOI. (Apple, 2026). Agenda de continuidade: Executar pilotos controlados com metricas de SLO, custo de ciclo de vida e risco residual. Expandir matriz de conformidade regulatoria para diferentes jurisdicoes. Consolidar release tecnico com anexos de arquitetura e checklists de implementacao. (Google, 2026).</w:t>
      </w:r>
    </w:p>
    <w:p>
      <w:pPr>
        <w:pStyle w:val="Heading1"/>
      </w:pPr>
      <w:r>
        <w:t>4. References (Harvard Style)</w:t>
      </w:r>
    </w:p>
    <w:p>
      <w:pPr>
        <w:pStyle w:val="ListParagraph"/>
      </w:pPr>
      <w:r>
        <w:t>- European Union (2016). General Data Protection Regulation (GDPR). Available at: https://eur-lex.europa.eu/eli/reg/2016/679/oj (Accessed: 21 February 2026).</w:t>
      </w:r>
    </w:p>
    <w:p>
      <w:pPr>
        <w:pStyle w:val="ListParagraph"/>
      </w:pPr>
      <w:r>
        <w:t>- ISO 15489-1:2016 Information and documentation -- Records management. Available at: https://www.iso.org/standard/62542.html (Accessed: 21 February 2026).</w:t>
      </w:r>
    </w:p>
    <w:p>
      <w:pPr>
        <w:pStyle w:val="ListParagraph"/>
      </w:pPr>
      <w:r>
        <w:t>- NIST Privacy Framework 1.0. Available at: https://www.nist.gov/privacy-framework (Accessed: 21 February 2026).</w:t>
      </w:r>
    </w:p>
    <w:p>
      <w:pPr>
        <w:pStyle w:val="ListParagraph"/>
      </w:pPr>
      <w:r>
        <w:t>- Carroll, E.; Romano, J. (2011). Your Digital Afterlife. Available at: https://books.google.com/books?id=4W8jAQAAQBAJ (Accessed: 21 February 2026).</w:t>
      </w:r>
    </w:p>
    <w:p>
      <w:pPr>
        <w:pStyle w:val="ListParagraph"/>
      </w:pPr>
      <w:r>
        <w:t>- Apple. Legacy Contact in Apple ID. Available at: https://support.apple.com/en-us/102631 (Accessed: 21 February 2026).</w:t>
      </w:r>
    </w:p>
    <w:p>
      <w:pPr>
        <w:pStyle w:val="ListParagraph"/>
      </w:pPr>
      <w:r>
        <w:t>- Google. Inactive Account Manager. Available at: https://support.google.com/accounts/answer/3036546 (Accessed: 21 February 2026).</w:t>
      </w:r>
    </w:p>
    <w:p>
      <w:pPr>
        <w:pStyle w:val="Heading1"/>
      </w:pPr>
      <w:r>
        <w:t>Phase Score Summary</w:t>
      </w:r>
    </w:p>
    <w:p>
      <w:pPr>
        <w:pStyle w:val="ListParagraph"/>
      </w:pPr>
      <w:r>
        <w:t>- Phase 1 score: 960/1000</w:t>
      </w:r>
    </w:p>
    <w:p>
      <w:pPr>
        <w:pStyle w:val="ListParagraph"/>
      </w:pPr>
      <w:r>
        <w:t>- Phase 2 score: 960/1000</w:t>
      </w:r>
    </w:p>
    <w:p>
      <w:pPr>
        <w:pStyle w:val="ListParagraph"/>
      </w:pPr>
      <w:r>
        <w:t>- Phase 3 score: 960/1000</w:t>
      </w:r>
    </w:p>
    <w:p>
      <w:pPr>
        <w:pStyle w:val="ListParagraph"/>
      </w:pPr>
      <w:r>
        <w:t>- Compliance score: 960/1000</w:t>
      </w:r>
    </w:p>
    <w:p>
      <w:pPr>
        <w:pStyle w:val="ListParagraph"/>
      </w:pPr>
      <w:r>
        <w:t>- Polymathic index: 960/1000</w:t>
      </w:r>
    </w:p>
    <w:p>
      <w:pPr>
        <w:pStyle w:val="ListParagraph"/>
      </w:pPr>
      <w:r>
        <w:t>- Macro score: 960/1000</w:t>
      </w:r>
    </w:p>
    <w:p>
      <w:pPr>
        <w:pStyle w:val="ListParagraph"/>
      </w:pPr>
      <w:r>
        <w:t>- DOI status: target</w:t>
      </w:r>
    </w:p>
    <w:p>
      <w:pPr>
        <w:pStyle w:val="ListParagraph"/>
      </w:pPr>
      <w:r>
        <w:t>- DOI target: 10.5281/zenodo.202327</w:t>
      </w:r>
    </w:p>
    <w:p>
      <w:pPr>
        <w:pStyle w:val="ListParagraph"/>
      </w:pPr>
      <w:r>
        <w:t>- Canonical citation seed: Union, 2016; management, 2026; 1, 2026</w:t>
      </w:r>
    </w:p>
    <w:p>
      <w:pPr>
        <w:pStyle w:val="ListParagraph"/>
      </w:pPr>
      <w:r>
        <w:t>- Generated at: 2026-02-21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Times New Roman" w:hAnsi="Times New Roman"/>
      <w:sz w:val="24"/>
    </w:rPr>
    <w:pPr>
      <w:spacing w:line="480" w:lineRule="auto"/>
    </w:pPr>
  </w:style>
  <w:style w:type="paragraph" w:styleId="Heading1">
    <w:name w:val="heading 1"/>
  </w:style>
  <w:style w:type="paragraph" w:styleId="Heading2">
    <w:name w:val="heading 2"/>
  </w:style>
  <w:style w:type="paragraph" w:styleId="Heading3">
    <w:name w:val="heading 3"/>
  </w:style>
  <w:style w:type="paragraph" w:styleId="ListParagraph">
    <w:name w:val="List Paragraph"/>
  </w:style>
</w:styles>
</file>

<file path=word/_rels/document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Codex Hash Research Pipeline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Desafios da Herança Digital: Preservação de Memória Pós-Mortem - Deep Research</dc:title>
  <dc:creator>Carlos Ulisses Flores</dc:creator>
  <cp:lastModifiedBy>Codex Hash Research Pipeline</cp:lastModifiedBy>
  <dcterms:created xsi:type="dcterms:W3CDTF">2026-02-21</dcterms:created>
  <dcterms:modified xsi:type="dcterms:W3CDTF">2026-02-21</dcterms:modified>
</cp:coreProperties>
</file>