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- ITA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- CT-213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do Laboratório 9 - Detecção de Objetos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Explicação em Alto Nível da Implementação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Sugestão: cerca de meia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 Sumário do Modelo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Insira o sumário do seu modelo (impresso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model.summary()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Figuras Comprovando Funcionamento do Código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Detecção de Objetos com YOLO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