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8"/>
        </w:rPr>
        <w:t>NUXERA - Detailed Technical Manual</w:t>
      </w:r>
    </w:p>
    <w:p>
      <w:r>
        <w:rPr>
          <w:rFonts w:ascii="Calibri" w:hAnsi="Calibri"/>
          <w:color w:val="555555"/>
          <w:sz w:val="23"/>
        </w:rPr>
        <w:t>Document generated from NUXERA evidence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4968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Campo</w:t>
            </w:r>
          </w:p>
        </w:tc>
        <w:tc>
          <w:tcPr>
            <w:tcW w:type="dxa" w:w="4968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Detalle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Fecha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2026-07-29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Paquete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English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Producto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NUXERA Financial Intelligence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Uso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Revision interna, socio, inversionistas y decision de cutover</w:t>
            </w:r>
          </w:p>
        </w:tc>
      </w:tr>
    </w:tbl>
    <w:p/>
    <w:p>
      <w:r>
        <w:rPr>
          <w:rFonts w:ascii="Calibri" w:hAnsi="Calibri"/>
          <w:sz w:val="22"/>
        </w:rPr>
        <w:t>Date: 2026-07-29 Audience: technical team, fractional CTO, integrators, security, DevOps and technical due diligence.</w:t>
      </w:r>
    </w:p>
    <w:p>
      <w:pPr>
        <w:pStyle w:val="Heading1"/>
      </w:pPr>
      <w:r>
        <w:t>1. Overall Architecture</w:t>
      </w:r>
    </w:p>
    <w:p>
      <w:r>
        <w:rPr>
          <w:rFonts w:ascii="Calibri" w:hAnsi="Calibri"/>
          <w:sz w:val="22"/>
        </w:rPr>
        <w:t>NUXERA keeps the NSD repository while shifting the visible and operating experience to the NUXERA brand. The frontend uses React/Vite and exposes role-based workspaces. The Node/Express backend concentrates NUXERA routes, service contracts, persistence gates, notifications, agents and operational readiness.</w:t>
      </w:r>
    </w:p>
    <w:p>
      <w:r>
        <w:rPr>
          <w:rFonts w:ascii="Calibri" w:hAnsi="Calibri"/>
          <w:sz w:val="22"/>
        </w:rPr>
        <w:t>Main layers:</w:t>
      </w:r>
    </w:p>
    <w:p>
      <w:pPr>
        <w:pStyle w:val="ListBullet"/>
      </w:pPr>
      <w:r>
        <w:rPr>
          <w:rFonts w:ascii="Calibri" w:hAnsi="Calibri"/>
          <w:sz w:val="22"/>
        </w:rPr>
        <w:t>Frontend: public site, dashboard, applicant workspace, funding provider workspace and admin console.</w:t>
      </w:r>
    </w:p>
    <w:p>
      <w:pPr>
        <w:pStyle w:val="ListBullet"/>
      </w:pPr>
      <w:r>
        <w:rPr>
          <w:rFonts w:ascii="Calibri" w:hAnsi="Calibri"/>
          <w:sz w:val="22"/>
        </w:rPr>
        <w:t>Backend: protected routes, jurisdiction intelligence services, notification contracts, agent readiness and operational persistence.</w:t>
      </w:r>
    </w:p>
    <w:p>
      <w:pPr>
        <w:pStyle w:val="ListBullet"/>
      </w:pPr>
      <w:r>
        <w:rPr>
          <w:rFonts w:ascii="Calibri" w:hAnsi="Calibri"/>
          <w:sz w:val="22"/>
        </w:rPr>
        <w:t>Data: Supabase/SQL as the target for files, events, approvals, documents and traceability.</w:t>
      </w:r>
    </w:p>
    <w:p>
      <w:pPr>
        <w:pStyle w:val="ListBullet"/>
      </w:pPr>
      <w:r>
        <w:rPr>
          <w:rFonts w:ascii="Calibri" w:hAnsi="Calibri"/>
          <w:sz w:val="22"/>
        </w:rPr>
        <w:t>AI: OpenAI and Anthropic as primary providers; Kimi/DeepSeek as low-risk secondary providers; NVIDIA as experimental/non-critical.</w:t>
      </w:r>
    </w:p>
    <w:p>
      <w:pPr>
        <w:pStyle w:val="ListBullet"/>
      </w:pPr>
      <w:r>
        <w:rPr>
          <w:rFonts w:ascii="Calibri" w:hAnsi="Calibri"/>
          <w:sz w:val="22"/>
        </w:rPr>
        <w:t>Integrations: public sources, private APIs by agreement, transactional email and regulatory registers.</w:t>
      </w:r>
    </w:p>
    <w:p>
      <w:pPr>
        <w:pStyle w:val="Heading1"/>
      </w:pPr>
      <w:r>
        <w:t>2. Frontend</w:t>
      </w:r>
    </w:p>
    <w:p>
      <w:r>
        <w:rPr>
          <w:rFonts w:ascii="Calibri" w:hAnsi="Calibri"/>
          <w:sz w:val="22"/>
        </w:rPr>
        <w:t>The frontend must preserve three role boundaries:</w:t>
      </w:r>
    </w:p>
    <w:p>
      <w:pPr>
        <w:pStyle w:val="ListBullet"/>
      </w:pPr>
      <w:r>
        <w:rPr>
          <w:rFonts w:ascii="Calibri" w:hAnsi="Calibri"/>
          <w:sz w:val="22"/>
        </w:rPr>
        <w:t>Applicant: prepares the file and sees own gaps.</w:t>
      </w:r>
    </w:p>
    <w:p>
      <w:pPr>
        <w:pStyle w:val="ListBullet"/>
      </w:pPr>
      <w:r>
        <w:rPr>
          <w:rFonts w:ascii="Calibri" w:hAnsi="Calibri"/>
          <w:sz w:val="22"/>
        </w:rPr>
        <w:t>Funding provider: reviews authorized files, committee material, jurisdiction and risk.</w:t>
      </w:r>
    </w:p>
    <w:p>
      <w:pPr>
        <w:pStyle w:val="ListBullet"/>
      </w:pPr>
      <w:r>
        <w:rPr>
          <w:rFonts w:ascii="Calibri" w:hAnsi="Calibri"/>
          <w:sz w:val="22"/>
        </w:rPr>
        <w:t>Admin: operates security, sources, gates, notifications, agents and readiness.</w:t>
      </w:r>
    </w:p>
    <w:p>
      <w:r>
        <w:rPr>
          <w:rFonts w:ascii="Calibri" w:hAnsi="Calibri"/>
          <w:sz w:val="22"/>
        </w:rPr>
        <w:t>Verified visual scenarios:</w:t>
      </w:r>
    </w:p>
    <w:p>
      <w:pPr>
        <w:pStyle w:val="ListBullet"/>
      </w:pPr>
      <w:r>
        <w:rPr>
          <w:rFonts w:ascii="Calibri" w:hAnsi="Calibri"/>
          <w:sz w:val="22"/>
        </w:rPr>
        <w:t>Public home.</w:t>
      </w:r>
    </w:p>
    <w:p>
      <w:pPr>
        <w:pStyle w:val="ListBullet"/>
      </w:pPr>
      <w:r>
        <w:rPr>
          <w:rFonts w:ascii="Calibri" w:hAnsi="Calibri"/>
          <w:sz w:val="22"/>
        </w:rPr>
        <w:t>Applicant dashboard.</w:t>
      </w:r>
    </w:p>
    <w:p>
      <w:pPr>
        <w:pStyle w:val="ListBullet"/>
      </w:pPr>
      <w:r>
        <w:rPr>
          <w:rFonts w:ascii="Calibri" w:hAnsi="Calibri"/>
          <w:sz w:val="22"/>
        </w:rPr>
        <w:t>Funding provider workspace.</w:t>
      </w:r>
    </w:p>
    <w:p>
      <w:pPr>
        <w:pStyle w:val="ListBullet"/>
      </w:pPr>
      <w:r>
        <w:rPr>
          <w:rFonts w:ascii="Calibri" w:hAnsi="Calibri"/>
          <w:sz w:val="22"/>
        </w:rPr>
        <w:t>Admin operations.</w:t>
      </w:r>
    </w:p>
    <w:p>
      <w:r>
        <w:rPr>
          <w:rFonts w:ascii="Calibri" w:hAnsi="Calibri"/>
          <w:sz w:val="22"/>
        </w:rPr>
        <w:t>Screenshots are stored in `docs/nuxera-migration/docs/migration/assets/qa-2026-07-29/`.</w:t>
      </w:r>
    </w:p>
    <w:p>
      <w:pPr>
        <w:pStyle w:val="Heading1"/>
      </w:pPr>
      <w:r>
        <w:t>3. Backend and Contracts</w:t>
      </w:r>
    </w:p>
    <w:p>
      <w:r>
        <w:rPr>
          <w:rFonts w:ascii="Calibri" w:hAnsi="Calibri"/>
          <w:sz w:val="22"/>
        </w:rPr>
        <w:t>Relevant modeled services:</w:t>
      </w:r>
    </w:p>
    <w:p>
      <w:pPr>
        <w:pStyle w:val="ListBullet"/>
      </w:pPr>
      <w:r>
        <w:rPr>
          <w:rFonts w:ascii="Consolas" w:hAnsi="Consolas"/>
          <w:color w:val="0B2545"/>
          <w:sz w:val="19"/>
        </w:rPr>
        <w:t>nuxeraJurisdictionIntelligenceService</w:t>
      </w:r>
      <w:r>
        <w:rPr>
          <w:rFonts w:ascii="Calibri" w:hAnsi="Calibri"/>
          <w:sz w:val="22"/>
        </w:rPr>
        <w:t>: produces jurisdiction analysis, regulatory sources, scope, limitations and source acquisition planning.</w:t>
      </w:r>
    </w:p>
    <w:p>
      <w:pPr>
        <w:pStyle w:val="ListBullet"/>
      </w:pPr>
      <w:r>
        <w:rPr>
          <w:rFonts w:ascii="Consolas" w:hAnsi="Consolas"/>
          <w:color w:val="0B2545"/>
          <w:sz w:val="19"/>
        </w:rPr>
        <w:t>nuxeraOperationalPersistenceService</w:t>
      </w:r>
      <w:r>
        <w:rPr>
          <w:rFonts w:ascii="Calibri" w:hAnsi="Calibri"/>
          <w:sz w:val="22"/>
        </w:rPr>
        <w:t>: defines operating events and gates before writing NUXERA state.</w:t>
      </w:r>
    </w:p>
    <w:p>
      <w:pPr>
        <w:pStyle w:val="ListBullet"/>
      </w:pPr>
      <w:r>
        <w:rPr>
          <w:rFonts w:ascii="Consolas" w:hAnsi="Consolas"/>
          <w:color w:val="0B2545"/>
          <w:sz w:val="19"/>
        </w:rPr>
        <w:t>nuxeraConversationAgentReadinessService</w:t>
      </w:r>
      <w:r>
        <w:rPr>
          <w:rFonts w:ascii="Calibri" w:hAnsi="Calibri"/>
          <w:sz w:val="22"/>
        </w:rPr>
        <w:t>: defines context manifest, agent restrictions and provider policy by risk.</w:t>
      </w:r>
    </w:p>
    <w:p>
      <w:pPr>
        <w:pStyle w:val="ListBullet"/>
      </w:pPr>
      <w:r>
        <w:rPr>
          <w:rFonts w:ascii="Calibri" w:hAnsi="Calibri"/>
          <w:sz w:val="22"/>
        </w:rPr>
        <w:t>NUXERA routes: expose readiness, jurisdiction evidence and persistence plans behind authentication.</w:t>
      </w:r>
    </w:p>
    <w:p>
      <w:r>
        <w:rPr>
          <w:rFonts w:ascii="Calibri" w:hAnsi="Calibri"/>
          <w:sz w:val="22"/>
        </w:rPr>
        <w:t>Technical principle: every sensitive operation must fail closed without token, role and authorization. LocalStorage demos support visual QA only; they do not prove production authorization.</w:t>
      </w:r>
    </w:p>
    <w:p>
      <w:pPr>
        <w:pStyle w:val="Heading1"/>
      </w:pPr>
      <w:r>
        <w:t>4. Agents and AI Providers</w:t>
      </w:r>
    </w:p>
    <w:p>
      <w:r>
        <w:rPr>
          <w:rFonts w:ascii="Calibri" w:hAnsi="Calibri"/>
          <w:sz w:val="22"/>
        </w:rPr>
        <w:t>Recommended provider policy:</w:t>
      </w:r>
    </w:p>
    <w:p>
      <w:pPr>
        <w:pStyle w:val="ListBullet"/>
      </w:pPr>
      <w:r>
        <w:rPr>
          <w:rFonts w:ascii="Calibri" w:hAnsi="Calibri"/>
          <w:sz w:val="22"/>
        </w:rPr>
        <w:t>OpenAI: reasoning, complex analysis, primary agents and higher-sensitivity compliance tasks.</w:t>
      </w:r>
    </w:p>
    <w:p>
      <w:pPr>
        <w:pStyle w:val="ListBullet"/>
      </w:pPr>
      <w:r>
        <w:rPr>
          <w:rFonts w:ascii="Calibri" w:hAnsi="Calibri"/>
          <w:sz w:val="22"/>
        </w:rPr>
        <w:t>Anthropic: document analysis, long explanations, second primary provider and serious fallback.</w:t>
      </w:r>
    </w:p>
    <w:p>
      <w:pPr>
        <w:pStyle w:val="ListBullet"/>
      </w:pPr>
      <w:r>
        <w:rPr>
          <w:rFonts w:ascii="Calibri" w:hAnsi="Calibri"/>
          <w:sz w:val="22"/>
        </w:rPr>
        <w:t>Kimi: low-cost provider for low-risk tasks, drafts, preliminary classification, non-binding summaries and internal support.</w:t>
      </w:r>
    </w:p>
    <w:p>
      <w:pPr>
        <w:pStyle w:val="ListBullet"/>
      </w:pPr>
      <w:r>
        <w:rPr>
          <w:rFonts w:ascii="Calibri" w:hAnsi="Calibri"/>
          <w:sz w:val="22"/>
        </w:rPr>
        <w:t>DeepSeek: keep behind primary providers and only use for low-risk work when cost/benefit supports it.</w:t>
      </w:r>
    </w:p>
    <w:p>
      <w:pPr>
        <w:pStyle w:val="ListBullet"/>
      </w:pPr>
      <w:r>
        <w:rPr>
          <w:rFonts w:ascii="Calibri" w:hAnsi="Calibri"/>
          <w:sz w:val="22"/>
        </w:rPr>
        <w:t>NVIDIA: experimental; presentation or cutover should not depend on it.</w:t>
      </w:r>
    </w:p>
    <w:p>
      <w:r>
        <w:rPr>
          <w:rFonts w:ascii="Calibri" w:hAnsi="Calibri"/>
          <w:sz w:val="22"/>
        </w:rPr>
        <w:t>The agent should be grounded in:</w:t>
      </w:r>
    </w:p>
    <w:p>
      <w:pPr>
        <w:pStyle w:val="ListBullet"/>
      </w:pPr>
      <w:r>
        <w:rPr>
          <w:rFonts w:ascii="Calibri" w:hAnsi="Calibri"/>
          <w:sz w:val="22"/>
        </w:rPr>
        <w:t>File metadata.</w:t>
      </w:r>
    </w:p>
    <w:p>
      <w:pPr>
        <w:pStyle w:val="ListBullet"/>
      </w:pPr>
      <w:r>
        <w:rPr>
          <w:rFonts w:ascii="Calibri" w:hAnsi="Calibri"/>
          <w:sz w:val="22"/>
        </w:rPr>
        <w:t>Checklist and requirements.</w:t>
      </w:r>
    </w:p>
    <w:p>
      <w:pPr>
        <w:pStyle w:val="ListBullet"/>
      </w:pPr>
      <w:r>
        <w:rPr>
          <w:rFonts w:ascii="Calibri" w:hAnsi="Calibri"/>
          <w:sz w:val="22"/>
        </w:rPr>
        <w:t>Authorized documents.</w:t>
      </w:r>
    </w:p>
    <w:p>
      <w:pPr>
        <w:pStyle w:val="ListBullet"/>
      </w:pPr>
      <w:r>
        <w:rPr>
          <w:rFonts w:ascii="Calibri" w:hAnsi="Calibri"/>
          <w:sz w:val="22"/>
        </w:rPr>
        <w:t>Event history.</w:t>
      </w:r>
    </w:p>
    <w:p>
      <w:pPr>
        <w:pStyle w:val="ListBullet"/>
      </w:pPr>
      <w:r>
        <w:rPr>
          <w:rFonts w:ascii="Calibri" w:hAnsi="Calibri"/>
          <w:sz w:val="22"/>
        </w:rPr>
        <w:t>Notification state.</w:t>
      </w:r>
    </w:p>
    <w:p>
      <w:pPr>
        <w:pStyle w:val="ListBullet"/>
      </w:pPr>
      <w:r>
        <w:rPr>
          <w:rFonts w:ascii="Calibri" w:hAnsi="Calibri"/>
          <w:sz w:val="22"/>
        </w:rPr>
        <w:t>Regulatory sources.</w:t>
      </w:r>
    </w:p>
    <w:p>
      <w:pPr>
        <w:pStyle w:val="ListBullet"/>
      </w:pPr>
      <w:r>
        <w:rPr>
          <w:rFonts w:ascii="Calibri" w:hAnsi="Calibri"/>
          <w:sz w:val="22"/>
        </w:rPr>
        <w:t>Country/state/city context.</w:t>
      </w:r>
    </w:p>
    <w:p>
      <w:r>
        <w:rPr>
          <w:rFonts w:ascii="Calibri" w:hAnsi="Calibri"/>
          <w:sz w:val="22"/>
        </w:rPr>
        <w:t>Restrictions:</w:t>
      </w:r>
    </w:p>
    <w:p>
      <w:pPr>
        <w:pStyle w:val="ListBullet"/>
      </w:pPr>
      <w:r>
        <w:rPr>
          <w:rFonts w:ascii="Calibri" w:hAnsi="Calibri"/>
          <w:sz w:val="22"/>
        </w:rPr>
        <w:t>No financing approval.</w:t>
      </w:r>
    </w:p>
    <w:p>
      <w:pPr>
        <w:pStyle w:val="ListBullet"/>
      </w:pPr>
      <w:r>
        <w:rPr>
          <w:rFonts w:ascii="Calibri" w:hAnsi="Calibri"/>
          <w:sz w:val="22"/>
        </w:rPr>
        <w:t>No email sending without a gate.</w:t>
      </w:r>
    </w:p>
    <w:p>
      <w:pPr>
        <w:pStyle w:val="ListBullet"/>
      </w:pPr>
      <w:r>
        <w:rPr>
          <w:rFonts w:ascii="Calibri" w:hAnsi="Calibri"/>
          <w:sz w:val="22"/>
        </w:rPr>
        <w:t>No cross-user data exposure.</w:t>
      </w:r>
    </w:p>
    <w:p>
      <w:pPr>
        <w:pStyle w:val="ListBullet"/>
      </w:pPr>
      <w:r>
        <w:rPr>
          <w:rFonts w:ascii="Calibri" w:hAnsi="Calibri"/>
          <w:sz w:val="22"/>
        </w:rPr>
        <w:t>No invented evidence.</w:t>
      </w:r>
    </w:p>
    <w:p>
      <w:pPr>
        <w:pStyle w:val="ListBullet"/>
      </w:pPr>
      <w:r>
        <w:rPr>
          <w:rFonts w:ascii="Calibri" w:hAnsi="Calibri"/>
          <w:sz w:val="22"/>
        </w:rPr>
        <w:t>No treating conditional sources as verified live sources.</w:t>
      </w:r>
    </w:p>
    <w:p>
      <w:pPr>
        <w:pStyle w:val="Heading1"/>
      </w:pPr>
      <w:r>
        <w:t>5. Notifications</w:t>
      </w:r>
    </w:p>
    <w:p>
      <w:r>
        <w:rPr>
          <w:rFonts w:ascii="Calibri" w:hAnsi="Calibri"/>
          <w:sz w:val="22"/>
        </w:rPr>
        <w:t>Email delivery should move through phases:</w:t>
      </w:r>
    </w:p>
    <w:p>
      <w:r>
        <w:rPr>
          <w:rFonts w:ascii="Calibri" w:hAnsi="Calibri"/>
          <w:sz w:val="22"/>
        </w:rPr>
        <w:t>1. Local dry-run: generate payloads and templates, no delivery. 2. Sandbox: send only to approved recipients, no sensitive attachments. 3. Limited production: low-sensitivity events with logs and retries. 4. Full production: requires legal/privacy approval, signed-off templates and monitoring.</w:t>
      </w:r>
    </w:p>
    <w:p>
      <w:r>
        <w:rPr>
          <w:rFonts w:ascii="Calibri" w:hAnsi="Calibri"/>
          <w:sz w:val="22"/>
        </w:rPr>
        <w:t>Suggested events:</w:t>
      </w:r>
    </w:p>
    <w:p>
      <w:pPr>
        <w:pStyle w:val="ListBullet"/>
      </w:pPr>
      <w:r>
        <w:rPr>
          <w:rFonts w:ascii="Calibri" w:hAnsi="Calibri"/>
          <w:sz w:val="22"/>
        </w:rPr>
        <w:t>File created.</w:t>
      </w:r>
    </w:p>
    <w:p>
      <w:pPr>
        <w:pStyle w:val="ListBullet"/>
      </w:pPr>
      <w:r>
        <w:rPr>
          <w:rFonts w:ascii="Calibri" w:hAnsi="Calibri"/>
          <w:sz w:val="22"/>
        </w:rPr>
        <w:t>Missing document.</w:t>
      </w:r>
    </w:p>
    <w:p>
      <w:pPr>
        <w:pStyle w:val="ListBullet"/>
      </w:pPr>
      <w:r>
        <w:rPr>
          <w:rFonts w:ascii="Calibri" w:hAnsi="Calibri"/>
          <w:sz w:val="22"/>
        </w:rPr>
        <w:t>Evidence received.</w:t>
      </w:r>
    </w:p>
    <w:p>
      <w:pPr>
        <w:pStyle w:val="ListBullet"/>
      </w:pPr>
      <w:r>
        <w:rPr>
          <w:rFonts w:ascii="Calibri" w:hAnsi="Calibri"/>
          <w:sz w:val="22"/>
        </w:rPr>
        <w:t>Status changed.</w:t>
      </w:r>
    </w:p>
    <w:p>
      <w:pPr>
        <w:pStyle w:val="ListBullet"/>
      </w:pPr>
      <w:r>
        <w:rPr>
          <w:rFonts w:ascii="Calibri" w:hAnsi="Calibri"/>
          <w:sz w:val="22"/>
        </w:rPr>
        <w:t>Data room invitation.</w:t>
      </w:r>
    </w:p>
    <w:p>
      <w:pPr>
        <w:pStyle w:val="ListBullet"/>
      </w:pPr>
      <w:r>
        <w:rPr>
          <w:rFonts w:ascii="Calibri" w:hAnsi="Calibri"/>
          <w:sz w:val="22"/>
        </w:rPr>
        <w:t>SLA approaching breach.</w:t>
      </w:r>
    </w:p>
    <w:p>
      <w:pPr>
        <w:pStyle w:val="ListBullet"/>
      </w:pPr>
      <w:r>
        <w:rPr>
          <w:rFonts w:ascii="Calibri" w:hAnsi="Calibri"/>
          <w:sz w:val="22"/>
        </w:rPr>
        <w:t>Human review required.</w:t>
      </w:r>
    </w:p>
    <w:p>
      <w:pPr>
        <w:pStyle w:val="ListBullet"/>
      </w:pPr>
      <w:r>
        <w:rPr>
          <w:rFonts w:ascii="Calibri" w:hAnsi="Calibri"/>
          <w:sz w:val="22"/>
        </w:rPr>
        <w:t>Committee decision pending or recorded.</w:t>
      </w:r>
    </w:p>
    <w:p>
      <w:pPr>
        <w:pStyle w:val="Heading1"/>
      </w:pPr>
      <w:r>
        <w:t>6. Data, RLS and Persistence</w:t>
      </w:r>
    </w:p>
    <w:p>
      <w:r>
        <w:rPr>
          <w:rFonts w:ascii="Calibri" w:hAnsi="Calibri"/>
          <w:sz w:val="22"/>
        </w:rPr>
        <w:t>Before full production, validate:</w:t>
      </w:r>
    </w:p>
    <w:p>
      <w:pPr>
        <w:pStyle w:val="ListBullet"/>
      </w:pPr>
      <w:r>
        <w:rPr>
          <w:rFonts w:ascii="Calibri" w:hAnsi="Calibri"/>
          <w:sz w:val="22"/>
        </w:rPr>
        <w:t>Case event tables.</w:t>
      </w:r>
    </w:p>
    <w:p>
      <w:pPr>
        <w:pStyle w:val="ListBullet"/>
      </w:pPr>
      <w:r>
        <w:rPr>
          <w:rFonts w:ascii="Calibri" w:hAnsi="Calibri"/>
          <w:sz w:val="22"/>
        </w:rPr>
        <w:t>Notification approval ledger/table.</w:t>
      </w:r>
    </w:p>
    <w:p>
      <w:pPr>
        <w:pStyle w:val="ListBullet"/>
      </w:pPr>
      <w:r>
        <w:rPr>
          <w:rFonts w:ascii="Calibri" w:hAnsi="Calibri"/>
          <w:sz w:val="22"/>
        </w:rPr>
        <w:t>Document provenance evidence.</w:t>
      </w:r>
    </w:p>
    <w:p>
      <w:pPr>
        <w:pStyle w:val="ListBullet"/>
      </w:pPr>
      <w:r>
        <w:rPr>
          <w:rFonts w:ascii="Calibri" w:hAnsi="Calibri"/>
          <w:sz w:val="22"/>
        </w:rPr>
        <w:t>RLS policies for applicant, funding provider and admin.</w:t>
      </w:r>
    </w:p>
    <w:p>
      <w:pPr>
        <w:pStyle w:val="ListBullet"/>
      </w:pPr>
      <w:r>
        <w:rPr>
          <w:rFonts w:ascii="Calibri" w:hAnsi="Calibri"/>
          <w:sz w:val="22"/>
        </w:rPr>
        <w:t>Real or staging-equivalent tokens.</w:t>
      </w:r>
    </w:p>
    <w:p>
      <w:pPr>
        <w:pStyle w:val="ListBullet"/>
      </w:pPr>
      <w:r>
        <w:rPr>
          <w:rFonts w:ascii="Calibri" w:hAnsi="Calibri"/>
          <w:sz w:val="22"/>
        </w:rPr>
        <w:t>Applicant cannot access another applicant's file.</w:t>
      </w:r>
    </w:p>
    <w:p>
      <w:pPr>
        <w:pStyle w:val="ListBullet"/>
      </w:pPr>
      <w:r>
        <w:rPr>
          <w:rFonts w:ascii="Calibri" w:hAnsi="Calibri"/>
          <w:sz w:val="22"/>
        </w:rPr>
        <w:t>Funding provider only sees authorized data rooms.</w:t>
      </w:r>
    </w:p>
    <w:p>
      <w:pPr>
        <w:pStyle w:val="ListBullet"/>
      </w:pPr>
      <w:r>
        <w:rPr>
          <w:rFonts w:ascii="Calibri" w:hAnsi="Calibri"/>
          <w:sz w:val="22"/>
        </w:rPr>
        <w:t>Admin requires privileged role.</w:t>
      </w:r>
    </w:p>
    <w:p>
      <w:pPr>
        <w:pStyle w:val="Heading1"/>
      </w:pPr>
      <w:r>
        <w:t>7. Regulators and Country/City Intelligence</w:t>
      </w:r>
    </w:p>
    <w:p>
      <w:r>
        <w:rPr>
          <w:rFonts w:ascii="Calibri" w:hAnsi="Calibri"/>
          <w:sz w:val="22"/>
        </w:rPr>
        <w:t>For the Middle East, especially UAE, the platform should classify sources as:</w:t>
      </w:r>
    </w:p>
    <w:p>
      <w:pPr>
        <w:pStyle w:val="ListBullet"/>
      </w:pPr>
      <w:r>
        <w:rPr>
          <w:rFonts w:ascii="Calibri" w:hAnsi="Calibri"/>
          <w:sz w:val="22"/>
        </w:rPr>
        <w:t>Public downloadable or searchable.</w:t>
      </w:r>
    </w:p>
    <w:p>
      <w:pPr>
        <w:pStyle w:val="ListBullet"/>
      </w:pPr>
      <w:r>
        <w:rPr>
          <w:rFonts w:ascii="Calibri" w:hAnsi="Calibri"/>
          <w:sz w:val="22"/>
        </w:rPr>
        <w:t>Public without stable API.</w:t>
      </w:r>
    </w:p>
    <w:p>
      <w:pPr>
        <w:pStyle w:val="ListBullet"/>
      </w:pPr>
      <w:r>
        <w:rPr>
          <w:rFonts w:ascii="Calibri" w:hAnsi="Calibri"/>
          <w:sz w:val="22"/>
        </w:rPr>
        <w:t>Private by agreement.</w:t>
      </w:r>
    </w:p>
    <w:p>
      <w:pPr>
        <w:pStyle w:val="ListBullet"/>
      </w:pPr>
      <w:r>
        <w:rPr>
          <w:rFonts w:ascii="Calibri" w:hAnsi="Calibri"/>
          <w:sz w:val="22"/>
        </w:rPr>
        <w:t>Government approval required.</w:t>
      </w:r>
    </w:p>
    <w:p>
      <w:pPr>
        <w:pStyle w:val="ListBullet"/>
      </w:pPr>
      <w:r>
        <w:rPr>
          <w:rFonts w:ascii="Calibri" w:hAnsi="Calibri"/>
          <w:sz w:val="22"/>
        </w:rPr>
        <w:t>Unavailable for automation.</w:t>
      </w:r>
    </w:p>
    <w:p>
      <w:r>
        <w:rPr>
          <w:rFonts w:ascii="Calibri" w:hAnsi="Calibri"/>
          <w:sz w:val="22"/>
        </w:rPr>
        <w:t>Initial UAE sources: UAE PASS, EOCN, SCA/CMA, CBUAE, DFSA, FSRA/ADGM, ADGM Registration Authority, VARA, FTA, National Economic Registry and local economic departments.</w:t>
      </w:r>
    </w:p>
    <w:p>
      <w:r>
        <w:rPr>
          <w:rFonts w:ascii="Calibri" w:hAnsi="Calibri"/>
          <w:sz w:val="22"/>
        </w:rPr>
        <w:t>For country/state/city intelligence, the engine must separate economic, political, social, regulatory and territorial data, with query date, source and limitation.</w:t>
      </w:r>
    </w:p>
    <w:p>
      <w:pPr>
        <w:pStyle w:val="Heading1"/>
      </w:pPr>
      <w:r>
        <w:t>8. Tests Executed in this Session</w:t>
      </w:r>
    </w:p>
    <w:p>
      <w:pPr>
        <w:pStyle w:val="ListBullet"/>
      </w:pPr>
      <w:r>
        <w:rPr>
          <w:rFonts w:ascii="Calibri" w:hAnsi="Calibri"/>
          <w:sz w:val="22"/>
        </w:rPr>
        <w:t>Focused backend: 86/86 tests passed.</w:t>
      </w:r>
    </w:p>
    <w:p>
      <w:pPr>
        <w:pStyle w:val="ListBullet"/>
      </w:pPr>
      <w:r>
        <w:rPr>
          <w:rFonts w:ascii="Calibri" w:hAnsi="Calibri"/>
          <w:sz w:val="22"/>
        </w:rPr>
        <w:t>NUXERA frontend: 125/125 tests passed.</w:t>
      </w:r>
    </w:p>
    <w:p>
      <w:pPr>
        <w:pStyle w:val="ListBullet"/>
      </w:pPr>
      <w:r>
        <w:rPr>
          <w:rFonts w:ascii="Calibri" w:hAnsi="Calibri"/>
          <w:sz w:val="22"/>
        </w:rPr>
        <w:t>Vite build: passed.</w:t>
      </w:r>
    </w:p>
    <w:p>
      <w:pPr>
        <w:pStyle w:val="ListBullet"/>
      </w:pPr>
      <w:r>
        <w:rPr>
          <w:rFonts w:ascii="Calibri" w:hAnsi="Calibri"/>
          <w:sz w:val="22"/>
        </w:rPr>
        <w:t>Playwright screenshots: 4/4 scenarios passed.</w:t>
      </w:r>
    </w:p>
    <w:p>
      <w:pPr>
        <w:pStyle w:val="ListBullet"/>
      </w:pPr>
      <w:r>
        <w:rPr>
          <w:rFonts w:ascii="Calibri" w:hAnsi="Calibri"/>
          <w:sz w:val="22"/>
        </w:rPr>
        <w:t>Vercel smoke: passed for main home and production alias.</w:t>
      </w:r>
    </w:p>
    <w:p>
      <w:pPr>
        <w:pStyle w:val="ListBullet"/>
      </w:pPr>
      <w:r>
        <w:rPr>
          <w:rFonts w:ascii="Calibri" w:hAnsi="Calibri"/>
          <w:sz w:val="22"/>
        </w:rPr>
        <w:t>Render smoke: 20-second timeout in this run; availability/cold start should be checked before a live API demo.</w:t>
      </w:r>
    </w:p>
    <w:p>
      <w:pPr>
        <w:pStyle w:val="Heading1"/>
      </w:pPr>
      <w:r>
        <w:t>9. Real Technical Pending Work</w:t>
      </w:r>
    </w:p>
    <w:p>
      <w:r>
        <w:rPr>
          <w:rFonts w:ascii="Calibri" w:hAnsi="Calibri"/>
          <w:sz w:val="22"/>
        </w:rPr>
        <w:t>1. Execute RLS phase 2 with real or staging tokens. 2. Run non-production SQL persistence rehearsal. 3. Test email sandbox with approved recipient. 4. Verify Render or move backend to a more predictable runtime before API-dependent demos. 5. Define final matrix for private sources and commercial agreements. 6. Execute controlled cutover from Nexus to NUXERA.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7"/>
      </w:rPr>
      <w:t>NUXERA Financial Intelligence - English - 2026-07-29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