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rFonts w:ascii="Calibri" w:hAnsi="Calibri"/>
          <w:b/>
          <w:color w:val="0B2545"/>
          <w:sz w:val="48"/>
        </w:rPr>
        <w:t>NUXERA - Real Remaining Work Before Production Operation</w:t>
      </w:r>
    </w:p>
    <w:p>
      <w:r>
        <w:rPr>
          <w:rFonts w:ascii="Calibri" w:hAnsi="Calibri"/>
          <w:color w:val="555555"/>
          <w:sz w:val="23"/>
        </w:rPr>
        <w:t>Document generated from NUXERA evidence</w:t>
      </w:r>
    </w:p>
    <w:tbl>
      <w:tblPr>
        <w:tblStyle w:val="TableGrid"/>
        <w:tblW w:type="auto" w:w="0"/>
        <w:tblLayout w:type="fixed"/>
        <w:tblLook w:firstColumn="1" w:firstRow="1" w:lastColumn="0" w:lastRow="0" w:noHBand="0" w:noVBand="1" w:val="04A0"/>
      </w:tblPr>
      <w:tblGrid>
        <w:gridCol w:w="2376"/>
        <w:gridCol w:w="6984"/>
      </w:tblGrid>
      <w:tr>
        <w:tc>
          <w:tcPr>
            <w:tcW w:type="dxa" w:w="4968"/>
            <w:shd w:fill="E8EEF5"/>
          </w:tcPr>
          <w:p>
            <w:pPr>
              <w:spacing w:after="0"/>
            </w:pPr>
            <w:r>
              <w:rPr>
                <w:rFonts w:ascii="Calibri" w:hAnsi="Calibri"/>
                <w:b/>
                <w:sz w:val="19"/>
              </w:rPr>
              <w:t>Campo</w:t>
            </w:r>
          </w:p>
        </w:tc>
        <w:tc>
          <w:tcPr>
            <w:tcW w:type="dxa" w:w="4968"/>
            <w:shd w:fill="E8EEF5"/>
          </w:tcPr>
          <w:p>
            <w:pPr>
              <w:spacing w:after="0"/>
            </w:pPr>
            <w:r>
              <w:rPr>
                <w:rFonts w:ascii="Calibri" w:hAnsi="Calibri"/>
                <w:b/>
                <w:sz w:val="19"/>
              </w:rPr>
              <w:t>Detalle</w:t>
            </w:r>
          </w:p>
        </w:tc>
      </w:tr>
      <w:tr>
        <w:tc>
          <w:tcPr>
            <w:tcW w:type="dxa" w:w="2376"/>
          </w:tcPr>
          <w:p>
            <w:pPr>
              <w:spacing w:after="0"/>
            </w:pPr>
            <w:r>
              <w:rPr>
                <w:rFonts w:ascii="Calibri" w:hAnsi="Calibri"/>
                <w:b/>
                <w:sz w:val="19"/>
              </w:rPr>
              <w:t>Fecha</w:t>
            </w:r>
          </w:p>
        </w:tc>
        <w:tc>
          <w:tcPr>
            <w:tcW w:type="dxa" w:w="6984"/>
          </w:tcPr>
          <w:p>
            <w:pPr>
              <w:spacing w:after="0"/>
            </w:pPr>
            <w:r>
              <w:rPr>
                <w:rFonts w:ascii="Calibri" w:hAnsi="Calibri"/>
                <w:b w:val="0"/>
                <w:sz w:val="19"/>
              </w:rPr>
              <w:t>2026-07-29</w:t>
            </w:r>
          </w:p>
        </w:tc>
      </w:tr>
      <w:tr>
        <w:tc>
          <w:tcPr>
            <w:tcW w:type="dxa" w:w="2376"/>
          </w:tcPr>
          <w:p>
            <w:pPr>
              <w:spacing w:after="0"/>
            </w:pPr>
            <w:r>
              <w:rPr>
                <w:rFonts w:ascii="Calibri" w:hAnsi="Calibri"/>
                <w:b/>
                <w:sz w:val="19"/>
              </w:rPr>
              <w:t>Paquete</w:t>
            </w:r>
          </w:p>
        </w:tc>
        <w:tc>
          <w:tcPr>
            <w:tcW w:type="dxa" w:w="6984"/>
          </w:tcPr>
          <w:p>
            <w:pPr>
              <w:spacing w:after="0"/>
            </w:pPr>
            <w:r>
              <w:rPr>
                <w:rFonts w:ascii="Calibri" w:hAnsi="Calibri"/>
                <w:b w:val="0"/>
                <w:sz w:val="19"/>
              </w:rPr>
              <w:t>English</w:t>
            </w:r>
          </w:p>
        </w:tc>
      </w:tr>
      <w:tr>
        <w:tc>
          <w:tcPr>
            <w:tcW w:type="dxa" w:w="2376"/>
          </w:tcPr>
          <w:p>
            <w:pPr>
              <w:spacing w:after="0"/>
            </w:pPr>
            <w:r>
              <w:rPr>
                <w:rFonts w:ascii="Calibri" w:hAnsi="Calibri"/>
                <w:b/>
                <w:sz w:val="19"/>
              </w:rPr>
              <w:t>Producto</w:t>
            </w:r>
          </w:p>
        </w:tc>
        <w:tc>
          <w:tcPr>
            <w:tcW w:type="dxa" w:w="6984"/>
          </w:tcPr>
          <w:p>
            <w:pPr>
              <w:spacing w:after="0"/>
            </w:pPr>
            <w:r>
              <w:rPr>
                <w:rFonts w:ascii="Calibri" w:hAnsi="Calibri"/>
                <w:b w:val="0"/>
                <w:sz w:val="19"/>
              </w:rPr>
              <w:t>NUXERA Financial Intelligence</w:t>
            </w:r>
          </w:p>
        </w:tc>
      </w:tr>
      <w:tr>
        <w:tc>
          <w:tcPr>
            <w:tcW w:type="dxa" w:w="2376"/>
          </w:tcPr>
          <w:p>
            <w:pPr>
              <w:spacing w:after="0"/>
            </w:pPr>
            <w:r>
              <w:rPr>
                <w:rFonts w:ascii="Calibri" w:hAnsi="Calibri"/>
                <w:b/>
                <w:sz w:val="19"/>
              </w:rPr>
              <w:t>Uso</w:t>
            </w:r>
          </w:p>
        </w:tc>
        <w:tc>
          <w:tcPr>
            <w:tcW w:type="dxa" w:w="6984"/>
          </w:tcPr>
          <w:p>
            <w:pPr>
              <w:spacing w:after="0"/>
            </w:pPr>
            <w:r>
              <w:rPr>
                <w:rFonts w:ascii="Calibri" w:hAnsi="Calibri"/>
                <w:b w:val="0"/>
                <w:sz w:val="19"/>
              </w:rPr>
              <w:t>Revision interna, socio, inversionistas y decision de cutover</w:t>
            </w:r>
          </w:p>
        </w:tc>
      </w:tr>
    </w:tbl>
    <w:p/>
    <w:p>
      <w:r>
        <w:rPr>
          <w:rFonts w:ascii="Calibri" w:hAnsi="Calibri"/>
          <w:sz w:val="22"/>
        </w:rPr>
        <w:t>Date: 2026-07-29</w:t>
      </w:r>
    </w:p>
    <w:p>
      <w:pPr>
        <w:pStyle w:val="Heading1"/>
      </w:pPr>
      <w:r>
        <w:t>Overall Status</w:t>
      </w:r>
    </w:p>
    <w:p>
      <w:r>
        <w:rPr>
          <w:rFonts w:ascii="Calibri" w:hAnsi="Calibri"/>
          <w:sz w:val="22"/>
        </w:rPr>
        <w:t>NUXERA is advanced enough for demonstration, partner review, investor review and preparation of the Nexus replacement. The remaining work is no longer about adding more tabs. The real work is closing operating loops: data, authorization, email, agents and cutover.</w:t>
      </w:r>
    </w:p>
    <w:p>
      <w:r>
        <w:rPr>
          <w:rFonts w:ascii="Calibri" w:hAnsi="Calibri"/>
          <w:sz w:val="22"/>
        </w:rPr>
        <w:t>Estimated progress after this work session:</w:t>
      </w:r>
    </w:p>
    <w:p>
      <w:pPr>
        <w:pStyle w:val="ListBullet"/>
      </w:pPr>
      <w:r>
        <w:rPr>
          <w:rFonts w:ascii="Calibri" w:hAnsi="Calibri"/>
          <w:sz w:val="22"/>
        </w:rPr>
        <w:t>90-92% for investor-ready demonstrable experience.</w:t>
      </w:r>
    </w:p>
    <w:p>
      <w:pPr>
        <w:pStyle w:val="ListBullet"/>
      </w:pPr>
      <w:r>
        <w:rPr>
          <w:rFonts w:ascii="Calibri" w:hAnsi="Calibri"/>
          <w:sz w:val="22"/>
        </w:rPr>
        <w:t>78-82% for full production operation with real data and active automations.</w:t>
      </w:r>
    </w:p>
    <w:p>
      <w:pPr>
        <w:pStyle w:val="Heading1"/>
      </w:pPr>
      <w:r>
        <w:t>Critical Pending Work before Fully Replacing Nexus</w:t>
      </w:r>
    </w:p>
    <w:p>
      <w:r>
        <w:rPr>
          <w:rFonts w:ascii="Calibri" w:hAnsi="Calibri"/>
          <w:sz w:val="22"/>
        </w:rPr>
        <w:t>1. Identity cutover: remove or redirect any public/operational entry point that still leads to Nexus and make NUXERA the main experience. 2. RLS phase 2: test applicant, funding provider and admin with real or staging data to prove isolation. 3. SQL/persistence: run non-production rehearsal for case events, notification approvals and document provenance. 4. Remote backend: resolve Render latency/cold start or warm the service before demos. In this run Vercel responded, Render did not respond within 20 seconds. 5. Notifications: run a real sandbox email test with approved recipient, signed templates and no sensitive attachments. 6. Agent/chat: connect to backend context with authorization, logs and risk boundaries. 7. Country/city/jurisdiction intelligence: expand sources by region and keep date/source/limitation for every conclusion. 8. Middle East: turn UAE/ADGM/DIFC/VARA/CBUAE/FTA sources into real connectors where API or authorization exists. 9. Final manuals with images: review and polish for commercial/investor style. 10. Demo script: prepare a 12-15 minute walkthrough with happy path and screenshot fallback.</w:t>
      </w:r>
    </w:p>
    <w:p>
      <w:pPr>
        <w:pStyle w:val="Heading1"/>
      </w:pPr>
      <w:r>
        <w:t>Important but Non-Blocking for Demo</w:t>
      </w:r>
    </w:p>
    <w:p>
      <w:pPr>
        <w:pStyle w:val="ListBullet"/>
      </w:pPr>
      <w:r>
        <w:rPr>
          <w:rFonts w:ascii="Calibri" w:hAnsi="Calibri"/>
          <w:sz w:val="22"/>
        </w:rPr>
        <w:t>NVIDIA API can remain experimental.</w:t>
      </w:r>
    </w:p>
    <w:p>
      <w:pPr>
        <w:pStyle w:val="ListBullet"/>
      </w:pPr>
      <w:r>
        <w:rPr>
          <w:rFonts w:ascii="Calibri" w:hAnsi="Calibri"/>
          <w:sz w:val="22"/>
        </w:rPr>
        <w:t>Public-site commercial copy can be refined.</w:t>
      </w:r>
    </w:p>
    <w:p>
      <w:pPr>
        <w:pStyle w:val="ListBullet"/>
      </w:pPr>
      <w:r>
        <w:rPr>
          <w:rFonts w:ascii="Calibri" w:hAnsi="Calibri"/>
          <w:sz w:val="22"/>
        </w:rPr>
        <w:t>More demo cases by industry can be added.</w:t>
      </w:r>
    </w:p>
    <w:p>
      <w:pPr>
        <w:pStyle w:val="ListBullet"/>
      </w:pPr>
      <w:r>
        <w:rPr>
          <w:rFonts w:ascii="Calibri" w:hAnsi="Calibri"/>
          <w:sz w:val="22"/>
        </w:rPr>
        <w:t>Investor one-pager can be prepared.</w:t>
      </w:r>
    </w:p>
    <w:p>
      <w:pPr>
        <w:pStyle w:val="ListBullet"/>
      </w:pPr>
      <w:r>
        <w:rPr>
          <w:rFonts w:ascii="Calibri" w:hAnsi="Calibri"/>
          <w:sz w:val="22"/>
        </w:rPr>
        <w:t>Pitch deck can be prepared.</w:t>
      </w:r>
    </w:p>
    <w:p>
      <w:pPr>
        <w:pStyle w:val="ListBullet"/>
      </w:pPr>
      <w:r>
        <w:rPr>
          <w:rFonts w:ascii="Calibri" w:hAnsi="Calibri"/>
          <w:sz w:val="22"/>
        </w:rPr>
        <w:t>Pricing and pilot plan can be prepared.</w:t>
      </w:r>
    </w:p>
    <w:p>
      <w:pPr>
        <w:pStyle w:val="Heading1"/>
      </w:pPr>
      <w:r>
        <w:t>Recommendation</w:t>
      </w:r>
    </w:p>
    <w:p>
      <w:r>
        <w:rPr>
          <w:rFonts w:ascii="Calibri" w:hAnsi="Calibri"/>
          <w:sz w:val="22"/>
        </w:rPr>
        <w:t>For investor presentation: proceed. For full Nexus replacement: do it through controlled cutover and rollback plan. For real-client production: do not enable sensitive writes, live notifications or real-data agents until RLS, SQL, email and observability are closed.</w:t>
      </w:r>
    </w:p>
    <w:sectPr w:rsidR="00FC693F" w:rsidRPr="0006063C" w:rsidSect="00034616">
      <w:footerReference w:type="default" r:id="rId9"/>
      <w:pgSz w:w="12240" w:h="15840"/>
      <w:pgMar w:top="1152" w:right="1152" w:bottom="1080"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666666"/>
        <w:sz w:val="17"/>
      </w:rPr>
      <w:t>NUXERA Financial Intelligence - English - 2026-07-29</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Calibri" w:hAnsi="Calibri"/>
      <w:b/>
      <w:bCs/>
      <w:color w:val="1F4D78"/>
      <w:sz w:val="32"/>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