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NUXERA - Lo que Falta Realmente para Operar en Produccion</w:t>
      </w:r>
    </w:p>
    <w:p>
      <w:r>
        <w:rPr>
          <w:rFonts w:ascii="Calibri" w:hAnsi="Calibri"/>
          <w:color w:val="555555"/>
          <w:sz w:val="23"/>
        </w:rPr>
        <w:t>Documento generado desde la evidencia NUXERA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Paquete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Espanol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Producto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NUXERA Financial Intelligence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Revision interna, socio, inversionistas y decision de cutover</w:t>
            </w:r>
          </w:p>
        </w:tc>
      </w:tr>
    </w:tbl>
    <w:p/>
    <w:p>
      <w:r>
        <w:rPr>
          <w:rFonts w:ascii="Calibri" w:hAnsi="Calibri"/>
          <w:sz w:val="22"/>
        </w:rPr>
        <w:t>Fecha: 2026-07-29</w:t>
      </w:r>
    </w:p>
    <w:p>
      <w:pPr>
        <w:pStyle w:val="Heading1"/>
      </w:pPr>
      <w:r>
        <w:t>Estado General</w:t>
      </w:r>
    </w:p>
    <w:p>
      <w:r>
        <w:rPr>
          <w:rFonts w:ascii="Calibri" w:hAnsi="Calibri"/>
          <w:sz w:val="22"/>
        </w:rPr>
        <w:t>NUXERA ya esta suficientemente avanzada para demostracion, revision de socio e inversionistas, y para preparar el reemplazo de la experiencia Nexus. Lo que falta ya no es crear mas pantallas: falta cerrar ciclos reales de datos, autorizacion, correo, agentes y cutover.</w:t>
      </w:r>
    </w:p>
    <w:p>
      <w:r>
        <w:rPr>
          <w:rFonts w:ascii="Calibri" w:hAnsi="Calibri"/>
          <w:sz w:val="22"/>
        </w:rPr>
        <w:t>Avance estimado despues de esta jornada:</w:t>
      </w:r>
    </w:p>
    <w:p>
      <w:pPr>
        <w:pStyle w:val="ListBullet"/>
      </w:pPr>
      <w:r>
        <w:rPr>
          <w:rFonts w:ascii="Calibri" w:hAnsi="Calibri"/>
          <w:sz w:val="22"/>
        </w:rPr>
        <w:t>90-92% para experiencia demostrable e investor-ready.</w:t>
      </w:r>
    </w:p>
    <w:p>
      <w:pPr>
        <w:pStyle w:val="ListBullet"/>
      </w:pPr>
      <w:r>
        <w:rPr>
          <w:rFonts w:ascii="Calibri" w:hAnsi="Calibri"/>
          <w:sz w:val="22"/>
        </w:rPr>
        <w:t>78-82% para produccion operativa con datos reales y automatizaciones activas.</w:t>
      </w:r>
    </w:p>
    <w:p>
      <w:pPr>
        <w:pStyle w:val="Heading1"/>
      </w:pPr>
      <w:r>
        <w:t>Pendientes Criticos antes de Sustituir Nexus por Completo</w:t>
      </w:r>
    </w:p>
    <w:p>
      <w:r>
        <w:rPr>
          <w:rFonts w:ascii="Calibri" w:hAnsi="Calibri"/>
          <w:sz w:val="22"/>
        </w:rPr>
        <w:t>1. Cutover de identidad: retirar o redirigir cualquier entrada publica/operativa que aun lleve a Nexus y dejar NUXERA como experiencia principal. 2. RLS fase 2: probar solicitante, otorgante y admin con datos reales o staging para demostrar aislamiento. 3. SQL/persistencia: ejecutar rehearsal no productivo para eventos, aprobaciones de notificacion y procedencia documental. 4. Backend remoto: resolver latencia/cold start de Render o calentar servicio antes de demos. En esta corrida Vercel respondio, Render no respondio dentro de 20 segundos. 5. Notificaciones: ejecutar sandbox real con correo aprobado, plantillas firmadas y sin evidencia sensible adjunta. 6. Agente/chat: conectar al backend con contexto autorizado, logs y limites de riesgo. 7. Pais/ciudad/jurisdiccion: ampliar fuentes por region y mantener fecha/fuente/limitacion por cada conclusion. 8. Medio Oriente: convertir fuentes UAE/ADGM/DIFC/VARA/CBUAE/FTA en conectores reales donde exista API o proceso autorizado. 9. Manuales finales con imagenes: revisar y editar para estilo comercial/inversionistas. 10. Demo script: preparar recorrido de 12-15 minutos con camino feliz y respaldo por capturas.</w:t>
      </w:r>
    </w:p>
    <w:p>
      <w:pPr>
        <w:pStyle w:val="Heading1"/>
      </w:pPr>
      <w:r>
        <w:t>Pendientes Importantes pero no Bloqueantes para Demo</w:t>
      </w:r>
    </w:p>
    <w:p>
      <w:pPr>
        <w:pStyle w:val="ListBullet"/>
      </w:pPr>
      <w:r>
        <w:rPr>
          <w:rFonts w:ascii="Calibri" w:hAnsi="Calibri"/>
          <w:sz w:val="22"/>
        </w:rPr>
        <w:t>NVIDIA API: se puede dejar como experimental.</w:t>
      </w:r>
    </w:p>
    <w:p>
      <w:pPr>
        <w:pStyle w:val="ListBullet"/>
      </w:pPr>
      <w:r>
        <w:rPr>
          <w:rFonts w:ascii="Calibri" w:hAnsi="Calibri"/>
          <w:sz w:val="22"/>
        </w:rPr>
        <w:t>Profundizar copy comercial de pagina publica.</w:t>
      </w:r>
    </w:p>
    <w:p>
      <w:pPr>
        <w:pStyle w:val="ListBullet"/>
      </w:pPr>
      <w:r>
        <w:rPr>
          <w:rFonts w:ascii="Calibri" w:hAnsi="Calibri"/>
          <w:sz w:val="22"/>
        </w:rPr>
        <w:t>Agregar mas casos demo por industria.</w:t>
      </w:r>
    </w:p>
    <w:p>
      <w:pPr>
        <w:pStyle w:val="ListBullet"/>
      </w:pPr>
      <w:r>
        <w:rPr>
          <w:rFonts w:ascii="Calibri" w:hAnsi="Calibri"/>
          <w:sz w:val="22"/>
        </w:rPr>
        <w:t>Preparar one-pager de inversion.</w:t>
      </w:r>
    </w:p>
    <w:p>
      <w:pPr>
        <w:pStyle w:val="ListBullet"/>
      </w:pPr>
      <w:r>
        <w:rPr>
          <w:rFonts w:ascii="Calibri" w:hAnsi="Calibri"/>
          <w:sz w:val="22"/>
        </w:rPr>
        <w:t>Preparar deck de pitch.</w:t>
      </w:r>
    </w:p>
    <w:p>
      <w:pPr>
        <w:pStyle w:val="ListBullet"/>
      </w:pPr>
      <w:r>
        <w:rPr>
          <w:rFonts w:ascii="Calibri" w:hAnsi="Calibri"/>
          <w:sz w:val="22"/>
        </w:rPr>
        <w:t>Preparar matriz de pricing y plan piloto.</w:t>
      </w:r>
    </w:p>
    <w:p>
      <w:pPr>
        <w:pStyle w:val="Heading1"/>
      </w:pPr>
      <w:r>
        <w:t>Recomendacion de Decision</w:t>
      </w:r>
    </w:p>
    <w:p>
      <w:r>
        <w:rPr>
          <w:rFonts w:ascii="Calibri" w:hAnsi="Calibri"/>
          <w:sz w:val="22"/>
        </w:rPr>
        <w:t>Para presentacion de inversionistas: avanzar. Para sustitucion total de Nexus: hacerlo con cutover controlado y plan de rollback. Para produccion con clientes reales: no activar escrituras sensibles, notificaciones live ni agentes con datos reales hasta cerrar RLS, SQL, correo y observabilidad.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NUXERA Financial Intelligence - Espanol - 2026-07-29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