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Manual Funcional Detallado</w:t>
      </w:r>
    </w:p>
    <w:p>
      <w:r>
        <w:rPr>
          <w:rFonts w:ascii="Calibri" w:hAnsi="Calibri"/>
          <w:color w:val="555555"/>
          <w:sz w:val="23"/>
        </w:rPr>
        <w:t>Documento generado desde la evidencia NUXERA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Espanol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Fecha: 2026-07-29 Audiencia: especialistas de negocio, cumplimiento, originacion, otorgantes, equipo comercial e inversionistas. Estado: plataforma NUXERA en vivo para demostracion, con operaciones sensibles protegidas por compuertas y evidencia pendiente antes de produccion plena.</w:t>
      </w:r>
    </w:p>
    <w:p>
      <w:pPr>
        <w:pStyle w:val="Heading1"/>
      </w:pPr>
      <w:r>
        <w:t>1. Que es NUXERA</w:t>
      </w:r>
    </w:p>
    <w:p>
      <w:r>
        <w:rPr>
          <w:rFonts w:ascii="Calibri" w:hAnsi="Calibri"/>
          <w:sz w:val="22"/>
        </w:rPr>
        <w:t>NUXERA es una plataforma de inteligencia financiera y cumplimiento para preparar, revisar y monitorear expedientes de financiamiento. Su funcion principal es convertir informacion dispersa de una empresa, proyecto, beneficiarios, documentos y contexto jurisdiccional en un expediente entendible para decision humana.</w:t>
      </w:r>
    </w:p>
    <w:p>
      <w:r>
        <w:rPr>
          <w:rFonts w:ascii="Calibri" w:hAnsi="Calibri"/>
          <w:sz w:val="22"/>
        </w:rPr>
        <w:t>La plataforma no debe interpretarse como un aprobador automatico de credito ni como sustituto de abogados, oficiales de cumplimiento o comites de inversion. Su valor es ordenar evidencia, mostrar brechas, activar revisiones, preparar paquetes de decision y dejar trazabilidad de lo que se sabe, lo que falta y lo que requiere validacion externa.</w:t>
      </w:r>
    </w:p>
    <w:p>
      <w:r>
        <w:rPr>
          <w:rFonts w:ascii="Calibri" w:hAnsi="Calibri"/>
          <w:sz w:val="22"/>
        </w:rPr>
        <w:t>NUXERA esta dividida en cuatro superficies principales: pagina publica, solicitantes, otorgantes y administracion.</w:t>
      </w:r>
    </w:p>
    <w:p>
      <w:pPr>
        <w:pStyle w:val="Heading1"/>
      </w:pPr>
      <w:r>
        <w:t>2. Pagina Publica</w:t>
      </w:r>
    </w:p>
    <w:p>
      <w:r>
        <w:rPr>
          <w:rFonts w:ascii="Calibri" w:hAnsi="Calibri"/>
          <w:sz w:val="22"/>
        </w:rPr>
        <w:t>La pagina publica es la entrada comercial e institucional. Sirve para explicar a mercado, socios e inversionistas que NUXERA es una plataforma global de cumplimiento y riesgo enfocada en decisiones financieras con evidencia.</w:t>
      </w:r>
    </w:p>
    <w:p>
      <w:r>
        <w:rPr>
          <w:rFonts w:ascii="Calibri" w:hAnsi="Calibri"/>
          <w:sz w:val="22"/>
        </w:rPr>
        <w:t>Paso a paso para usarla:</w:t>
      </w:r>
    </w:p>
    <w:p>
      <w:r>
        <w:rPr>
          <w:rFonts w:ascii="Calibri" w:hAnsi="Calibri"/>
          <w:sz w:val="22"/>
        </w:rPr>
        <w:t>1. Entrar a la URL publica de NUXERA. 2. Revisar la propuesta de valor, cobertura global, industrias, integraciones y modelo operativo. 3. Cambiar idioma entre ES/EN cuando se requiera presentar a audiencias internacionales. 4. Entrar a Login o Sign Up para pasar de informacion publica a espacio operativo.</w:t>
      </w:r>
    </w:p>
    <w:p>
      <w:r>
        <w:rPr>
          <w:rFonts w:ascii="Calibri" w:hAnsi="Calibri"/>
          <w:sz w:val="22"/>
        </w:rPr>
        <w:t>Que hace cada parte:</w:t>
      </w:r>
    </w:p>
    <w:p>
      <w:pPr>
        <w:pStyle w:val="ListBullet"/>
      </w:pPr>
      <w:r>
        <w:rPr>
          <w:rFonts w:ascii="Calibri" w:hAnsi="Calibri"/>
          <w:sz w:val="22"/>
        </w:rPr>
        <w:t>Home: presenta identidad, promesa de producto y resumen de capacidades.</w:t>
      </w:r>
    </w:p>
    <w:p>
      <w:pPr>
        <w:pStyle w:val="ListBullet"/>
      </w:pPr>
      <w:r>
        <w:rPr>
          <w:rFonts w:ascii="Calibri" w:hAnsi="Calibri"/>
          <w:sz w:val="22"/>
        </w:rPr>
        <w:t>Platform: explica el sistema como espacio de expediente, inteligencia y trazabilidad.</w:t>
      </w:r>
    </w:p>
    <w:p>
      <w:pPr>
        <w:pStyle w:val="ListBullet"/>
      </w:pPr>
      <w:r>
        <w:rPr>
          <w:rFonts w:ascii="Calibri" w:hAnsi="Calibri"/>
          <w:sz w:val="22"/>
        </w:rPr>
        <w:t>Global coverage: muestra la logica de cobertura jurisdiccional y regulatoria.</w:t>
      </w:r>
    </w:p>
    <w:p>
      <w:pPr>
        <w:pStyle w:val="ListBullet"/>
      </w:pPr>
      <w:r>
        <w:rPr>
          <w:rFonts w:ascii="Calibri" w:hAnsi="Calibri"/>
          <w:sz w:val="22"/>
        </w:rPr>
        <w:t>Industries: indica sectores que pueden estructurar expedientes.</w:t>
      </w:r>
    </w:p>
    <w:p>
      <w:pPr>
        <w:pStyle w:val="ListBullet"/>
      </w:pPr>
      <w:r>
        <w:rPr>
          <w:rFonts w:ascii="Calibri" w:hAnsi="Calibri"/>
          <w:sz w:val="22"/>
        </w:rPr>
        <w:t>Integrations: comunica que NUXERA puede conectarse con APIs, fuentes publicas, proveedores de IA, correo y registros regulados.</w:t>
      </w:r>
    </w:p>
    <w:p>
      <w:pPr>
        <w:pStyle w:val="ListBullet"/>
      </w:pPr>
      <w:r>
        <w:rPr>
          <w:rFonts w:ascii="Calibri" w:hAnsi="Calibri"/>
          <w:sz w:val="22"/>
        </w:rPr>
        <w:t>Implementation: orienta el proceso de adopcion y migracion.</w:t>
      </w:r>
    </w:p>
    <w:p>
      <w:r>
        <w:rPr>
          <w:rFonts w:ascii="Calibri" w:hAnsi="Calibri"/>
          <w:sz w:val="22"/>
        </w:rPr>
        <w:t>Resultado esperado: el visitante entiende que NUXERA no es solo una pagina de financiamiento, sino una capa operativa para ordenar cumplimiento, riesgo, documentos y decision.</w:t>
      </w:r>
    </w:p>
    <w:p>
      <w:pPr>
        <w:pStyle w:val="Heading1"/>
      </w:pPr>
      <w:r>
        <w:t>3. Solicitantes</w:t>
      </w:r>
    </w:p>
    <w:p>
      <w:r>
        <w:rPr>
          <w:rFonts w:ascii="Calibri" w:hAnsi="Calibri"/>
          <w:sz w:val="22"/>
        </w:rPr>
        <w:t>El espacio de solicitantes es donde una empresa, promotor o proyecto prepara su expediente para solicitar capital. Aqui se concentra la informacion que despues podra revisar un otorgante autorizado.</w:t>
      </w:r>
    </w:p>
    <w:p>
      <w:r>
        <w:rPr>
          <w:rFonts w:ascii="Calibri" w:hAnsi="Calibri"/>
          <w:sz w:val="22"/>
        </w:rPr>
        <w:t>Como entrar:</w:t>
      </w:r>
    </w:p>
    <w:p>
      <w:r>
        <w:rPr>
          <w:rFonts w:ascii="Calibri" w:hAnsi="Calibri"/>
          <w:sz w:val="22"/>
        </w:rPr>
        <w:t>1. Iniciar sesion como solicitante. 2. Entrar al dashboard. 3. Confirmar que el encabezado indique NUXERA / Applicant o Solicitante. 4. Revisar el estado general de preparacion del expediente.</w:t>
      </w:r>
    </w:p>
    <w:p>
      <w:r>
        <w:rPr>
          <w:rFonts w:ascii="Calibri" w:hAnsi="Calibri"/>
          <w:sz w:val="22"/>
        </w:rPr>
        <w:t>Flujo recomendado de trabajo:</w:t>
      </w:r>
    </w:p>
    <w:p>
      <w:r>
        <w:rPr>
          <w:rFonts w:ascii="Calibri" w:hAnsi="Calibri"/>
          <w:sz w:val="22"/>
        </w:rPr>
        <w:t>1. Completar perfil de empresa y responsables. El solicitante agrega datos basicos de la entidad, estructura corporativa, representantes, beneficiarios y responsables del expediente. 2. Preparar informacion del proyecto. Se debe explicar que se va a financiar, monto, uso de fondos, etapa, ubicacion, sector, impacto esperado y supuestos financieros. 3. Cargar documentos. Segun el tipo de expediente, se cargan documentos corporativos, fiscales, financieros, identidad, permisos, contratos, garantias, evidencias tecnicas y documentacion de cumplimiento. 4. Revisar brechas. La plataforma muestra que documentos o datos faltan para que el expediente sea revisable. 5. Atender observaciones. Si el otorgante o el sistema marca evidencia faltante, el solicitante debe cargarla, corregirla o explicar por que no existe. 6. Mantener seguimiento. El solicitante consulta avance, estatus, proximos pasos, riesgos abiertos y solicitudes pendientes.</w:t>
      </w:r>
    </w:p>
    <w:p>
      <w:r>
        <w:rPr>
          <w:rFonts w:ascii="Calibri" w:hAnsi="Calibri"/>
          <w:sz w:val="22"/>
        </w:rPr>
        <w:t>Como funciona la carga documental:</w:t>
      </w:r>
    </w:p>
    <w:p>
      <w:pPr>
        <w:pStyle w:val="ListBullet"/>
      </w:pPr>
      <w:r>
        <w:rPr>
          <w:rFonts w:ascii="Calibri" w:hAnsi="Calibri"/>
          <w:sz w:val="22"/>
        </w:rPr>
        <w:t>El documento debe asociarse a una categoria: identidad, corporativo, fiscal, financiero, tecnico, regulatorio, proyecto, garantias o evidencia complementaria.</w:t>
      </w:r>
    </w:p>
    <w:p>
      <w:pPr>
        <w:pStyle w:val="ListBullet"/>
      </w:pPr>
      <w:r>
        <w:rPr>
          <w:rFonts w:ascii="Calibri" w:hAnsi="Calibri"/>
          <w:sz w:val="22"/>
        </w:rPr>
        <w:t>La plataforma debe registrar metadatos: tipo, fecha, responsable, version, relacion con requisito y estado de revision.</w:t>
      </w:r>
    </w:p>
    <w:p>
      <w:pPr>
        <w:pStyle w:val="ListBullet"/>
      </w:pPr>
      <w:r>
        <w:rPr>
          <w:rFonts w:ascii="Calibri" w:hAnsi="Calibri"/>
          <w:sz w:val="22"/>
        </w:rPr>
        <w:t>El documento no debe enviarse automaticamente por correo ni exponerse al otorgante sin reglas de autorizacion.</w:t>
      </w:r>
    </w:p>
    <w:p>
      <w:pPr>
        <w:pStyle w:val="ListBullet"/>
      </w:pPr>
      <w:r>
        <w:rPr>
          <w:rFonts w:ascii="Calibri" w:hAnsi="Calibri"/>
          <w:sz w:val="22"/>
        </w:rPr>
        <w:t>En produccion, la evidencia debe persistirse con almacenamiento seguro, RLS y bitacora de acceso.</w:t>
      </w:r>
    </w:p>
    <w:p>
      <w:r>
        <w:rPr>
          <w:rFonts w:ascii="Calibri" w:hAnsi="Calibri"/>
          <w:sz w:val="22"/>
        </w:rPr>
        <w:t>Que debe esperar el solicitante:</w:t>
      </w:r>
    </w:p>
    <w:p>
      <w:pPr>
        <w:pStyle w:val="ListBullet"/>
      </w:pPr>
      <w:r>
        <w:rPr>
          <w:rFonts w:ascii="Calibri" w:hAnsi="Calibri"/>
          <w:sz w:val="22"/>
        </w:rPr>
        <w:t>Un porcentaje de preparacion.</w:t>
      </w:r>
    </w:p>
    <w:p>
      <w:pPr>
        <w:pStyle w:val="ListBullet"/>
      </w:pPr>
      <w:r>
        <w:rPr>
          <w:rFonts w:ascii="Calibri" w:hAnsi="Calibri"/>
          <w:sz w:val="22"/>
        </w:rPr>
        <w:t>Lista clara de documentos faltantes.</w:t>
      </w:r>
    </w:p>
    <w:p>
      <w:pPr>
        <w:pStyle w:val="ListBullet"/>
      </w:pPr>
      <w:r>
        <w:rPr>
          <w:rFonts w:ascii="Calibri" w:hAnsi="Calibri"/>
          <w:sz w:val="22"/>
        </w:rPr>
        <w:t>Indicadores de riesgo o revision humana.</w:t>
      </w:r>
    </w:p>
    <w:p>
      <w:pPr>
        <w:pStyle w:val="ListBullet"/>
      </w:pPr>
      <w:r>
        <w:rPr>
          <w:rFonts w:ascii="Calibri" w:hAnsi="Calibri"/>
          <w:sz w:val="22"/>
        </w:rPr>
        <w:t>Mensajes de seguimiento y notificaciones cuando existan cambios.</w:t>
      </w:r>
    </w:p>
    <w:p>
      <w:pPr>
        <w:pStyle w:val="ListBullet"/>
      </w:pPr>
      <w:r>
        <w:rPr>
          <w:rFonts w:ascii="Calibri" w:hAnsi="Calibri"/>
          <w:sz w:val="22"/>
        </w:rPr>
        <w:t>Un expediente que puede compartirse con otorgantes autorizados cuando se complete la preparacion minima.</w:t>
      </w:r>
    </w:p>
    <w:p>
      <w:r>
        <w:rPr>
          <w:rFonts w:ascii="Calibri" w:hAnsi="Calibri"/>
          <w:sz w:val="22"/>
        </w:rPr>
        <w:t>Resultado esperado: expediente estructurado, con brechas visibles, documentos clasificados y condiciones claras para avanzar a revision.</w:t>
      </w:r>
    </w:p>
    <w:p>
      <w:pPr>
        <w:pStyle w:val="Heading1"/>
      </w:pPr>
      <w:r>
        <w:t>4. Otorgantes</w:t>
      </w:r>
    </w:p>
    <w:p>
      <w:r>
        <w:rPr>
          <w:rFonts w:ascii="Calibri" w:hAnsi="Calibri"/>
          <w:sz w:val="22"/>
        </w:rPr>
        <w:t>El espacio de otorgantes es para financiadores, analistas, fondos, bancos, family offices o equipos que revisan expedientes autorizados. Su funcion no es duplicar la pantalla del solicitante, sino analizar desde la perspectiva de riesgo, decision, SLA y comite.</w:t>
      </w:r>
    </w:p>
    <w:p>
      <w:r>
        <w:rPr>
          <w:rFonts w:ascii="Calibri" w:hAnsi="Calibri"/>
          <w:sz w:val="22"/>
        </w:rPr>
        <w:t>Como entrar:</w:t>
      </w:r>
    </w:p>
    <w:p>
      <w:r>
        <w:rPr>
          <w:rFonts w:ascii="Calibri" w:hAnsi="Calibri"/>
          <w:sz w:val="22"/>
        </w:rPr>
        <w:t>1. Iniciar sesion como otorgante o funding provider. 2. Entrar a Decision desk para preparar revision ejecutiva. 3. Entrar a Case management para operar seguimiento, asignaciones y faltantes. 4. Revisar Finance, Intelligence, Markets o Strategy segun el tipo de analisis.</w:t>
      </w:r>
    </w:p>
    <w:p>
      <w:r>
        <w:rPr>
          <w:rFonts w:ascii="Calibri" w:hAnsi="Calibri"/>
          <w:sz w:val="22"/>
        </w:rPr>
        <w:t>Diferencia entre Decision desk y Case management:</w:t>
      </w:r>
    </w:p>
    <w:p>
      <w:pPr>
        <w:pStyle w:val="ListBullet"/>
      </w:pPr>
      <w:r>
        <w:rPr>
          <w:rFonts w:ascii="Calibri" w:hAnsi="Calibri"/>
          <w:sz w:val="22"/>
        </w:rPr>
        <w:t>Decision desk: responde si el caso esta listo para comite, que evidencia sustenta la revision, que preguntas debe resolver el comite y que condiciones humanas deben mantenerse.</w:t>
      </w:r>
    </w:p>
    <w:p>
      <w:pPr>
        <w:pStyle w:val="ListBullet"/>
      </w:pPr>
      <w:r>
        <w:rPr>
          <w:rFonts w:ascii="Calibri" w:hAnsi="Calibri"/>
          <w:sz w:val="22"/>
        </w:rPr>
        <w:t>Case management: responde que casos estan abiertos, quien los atiende, que SLA existe, que faltantes bloquean avance y que solicitudes se deben enviar.</w:t>
      </w:r>
    </w:p>
    <w:p>
      <w:r>
        <w:rPr>
          <w:rFonts w:ascii="Calibri" w:hAnsi="Calibri"/>
          <w:sz w:val="22"/>
        </w:rPr>
        <w:t>Analisis jurisdiccional y pais/estado/ciudad:</w:t>
      </w:r>
    </w:p>
    <w:p>
      <w:r>
        <w:rPr>
          <w:rFonts w:ascii="Calibri" w:hAnsi="Calibri"/>
          <w:sz w:val="22"/>
        </w:rPr>
        <w:t>El otorgante necesita saber no solo quien pide recursos, sino donde se ejecutara el proyecto. NUXERA debe mostrar contexto economico, politico, social, regulatorio y territorial de pais, estado/provincia y ciudad cuando la informacion exista.</w:t>
      </w:r>
    </w:p>
    <w:p>
      <w:r>
        <w:rPr>
          <w:rFonts w:ascii="Calibri" w:hAnsi="Calibri"/>
          <w:sz w:val="22"/>
        </w:rPr>
        <w:t>Este analisis debe incluir:</w:t>
      </w:r>
    </w:p>
    <w:p>
      <w:pPr>
        <w:pStyle w:val="ListBullet"/>
      </w:pPr>
      <w:r>
        <w:rPr>
          <w:rFonts w:ascii="Calibri" w:hAnsi="Calibri"/>
          <w:sz w:val="22"/>
        </w:rPr>
        <w:t>Economia: crecimiento, inflacion, moneda, riesgo cambiario, sectores relevantes, deuda, inversion extranjera y estabilidad macro.</w:t>
      </w:r>
    </w:p>
    <w:p>
      <w:pPr>
        <w:pStyle w:val="ListBullet"/>
      </w:pPr>
      <w:r>
        <w:rPr>
          <w:rFonts w:ascii="Calibri" w:hAnsi="Calibri"/>
          <w:sz w:val="22"/>
        </w:rPr>
        <w:t>Politica: estabilidad institucional, elecciones, cambios regulatorios, sanciones, conflictos, corrupcion percibida y gobernabilidad.</w:t>
      </w:r>
    </w:p>
    <w:p>
      <w:pPr>
        <w:pStyle w:val="ListBullet"/>
      </w:pPr>
      <w:r>
        <w:rPr>
          <w:rFonts w:ascii="Calibri" w:hAnsi="Calibri"/>
          <w:sz w:val="22"/>
        </w:rPr>
        <w:t>Social/territorial: seguridad, conflictividad local, permisos, riesgos comunitarios, infraestructura, empleo, pobreza o presiones sociales.</w:t>
      </w:r>
    </w:p>
    <w:p>
      <w:pPr>
        <w:pStyle w:val="ListBullet"/>
      </w:pPr>
      <w:r>
        <w:rPr>
          <w:rFonts w:ascii="Calibri" w:hAnsi="Calibri"/>
          <w:sz w:val="22"/>
        </w:rPr>
        <w:t>Regulacion: registros publicos, licencias, sectores restringidos, autoridades financieras, fiscalidad, beneficiarios finales y listas de sanciones.</w:t>
      </w:r>
    </w:p>
    <w:p>
      <w:pPr>
        <w:pStyle w:val="ListBullet"/>
      </w:pPr>
      <w:r>
        <w:rPr>
          <w:rFonts w:ascii="Calibri" w:hAnsi="Calibri"/>
          <w:sz w:val="22"/>
        </w:rPr>
        <w:t>Municipio/provincia/ciudad: cuando existan datos publicos o APIs confiables, se debe aterrizar el riesgo local, no quedarse solo en pais.</w:t>
      </w:r>
    </w:p>
    <w:p>
      <w:r>
        <w:rPr>
          <w:rFonts w:ascii="Calibri" w:hAnsi="Calibri"/>
          <w:sz w:val="22"/>
        </w:rPr>
        <w:t>Medio Oriente y Emiratos Arabes Unidos:</w:t>
      </w:r>
    </w:p>
    <w:p>
      <w:r>
        <w:rPr>
          <w:rFonts w:ascii="Calibri" w:hAnsi="Calibri"/>
          <w:sz w:val="22"/>
        </w:rPr>
        <w:t>La plataforma ya incorpora la logica para tratar fuentes como UAE PASS, EOCN, SCA/CMA, CBUAE, DFSA, FSRA/ADGM, ADGM Registration Authority, VARA, FTA, National Economic Registry y registros economicos locales como fuentes publicas, condicionales o privadas. En solicitante estas fuentes no deben mostrarse como una capa externa invasiva; deben alimentar el score, checklist y faltantes. En otorgante si deben verse de forma robusta, con fuente, alcance, limitacion y siguiente accion.</w:t>
      </w:r>
    </w:p>
    <w:p>
      <w:r>
        <w:rPr>
          <w:rFonts w:ascii="Calibri" w:hAnsi="Calibri"/>
          <w:sz w:val="22"/>
        </w:rPr>
        <w:t>Que debe esperar el otorgante:</w:t>
      </w:r>
    </w:p>
    <w:p>
      <w:pPr>
        <w:pStyle w:val="ListBullet"/>
      </w:pPr>
      <w:r>
        <w:rPr>
          <w:rFonts w:ascii="Calibri" w:hAnsi="Calibri"/>
          <w:sz w:val="22"/>
        </w:rPr>
        <w:t>Casos priorizados por estatus, riesgo, brechas y SLA.</w:t>
      </w:r>
    </w:p>
    <w:p>
      <w:pPr>
        <w:pStyle w:val="ListBullet"/>
      </w:pPr>
      <w:r>
        <w:rPr>
          <w:rFonts w:ascii="Calibri" w:hAnsi="Calibri"/>
          <w:sz w:val="22"/>
        </w:rPr>
        <w:t>Paquete de decision no vinculante.</w:t>
      </w:r>
    </w:p>
    <w:p>
      <w:pPr>
        <w:pStyle w:val="ListBullet"/>
      </w:pPr>
      <w:r>
        <w:rPr>
          <w:rFonts w:ascii="Calibri" w:hAnsi="Calibri"/>
          <w:sz w:val="22"/>
        </w:rPr>
        <w:t>Evidencia autorizada, no inventada.</w:t>
      </w:r>
    </w:p>
    <w:p>
      <w:pPr>
        <w:pStyle w:val="ListBullet"/>
      </w:pPr>
      <w:r>
        <w:rPr>
          <w:rFonts w:ascii="Calibri" w:hAnsi="Calibri"/>
          <w:sz w:val="22"/>
        </w:rPr>
        <w:t>Preguntas de comite.</w:t>
      </w:r>
    </w:p>
    <w:p>
      <w:pPr>
        <w:pStyle w:val="ListBullet"/>
      </w:pPr>
      <w:r>
        <w:rPr>
          <w:rFonts w:ascii="Calibri" w:hAnsi="Calibri"/>
          <w:sz w:val="22"/>
        </w:rPr>
        <w:t>Condiciones pendientes.</w:t>
      </w:r>
    </w:p>
    <w:p>
      <w:pPr>
        <w:pStyle w:val="ListBullet"/>
      </w:pPr>
      <w:r>
        <w:rPr>
          <w:rFonts w:ascii="Calibri" w:hAnsi="Calibri"/>
          <w:sz w:val="22"/>
        </w:rPr>
        <w:t>Contexto jurisdiccional y regulatorio trazable.</w:t>
      </w:r>
    </w:p>
    <w:p>
      <w:pPr>
        <w:pStyle w:val="ListBullet"/>
      </w:pPr>
      <w:r>
        <w:rPr>
          <w:rFonts w:ascii="Calibri" w:hAnsi="Calibri"/>
          <w:sz w:val="22"/>
        </w:rPr>
        <w:t>Recomendaciones del agente solo como apoyo, nunca como aprobacion automatica.</w:t>
      </w:r>
    </w:p>
    <w:p>
      <w:r>
        <w:rPr>
          <w:rFonts w:ascii="Calibri" w:hAnsi="Calibri"/>
          <w:sz w:val="22"/>
        </w:rPr>
        <w:t>Resultado esperado: revision mas rapida, ordenada y defendible ante comite, con claridad sobre que se puede decidir y que requiere validacion.</w:t>
      </w:r>
    </w:p>
    <w:p>
      <w:pPr>
        <w:pStyle w:val="Heading1"/>
      </w:pPr>
      <w:r>
        <w:t>5. Administracion</w:t>
      </w:r>
    </w:p>
    <w:p>
      <w:r>
        <w:rPr>
          <w:rFonts w:ascii="Calibri" w:hAnsi="Calibri"/>
          <w:sz w:val="22"/>
        </w:rPr>
        <w:t>El espacio admin controla operacion, seguridad, fuentes, agentes, notificaciones, persistencia y readiness de produccion.</w:t>
      </w:r>
    </w:p>
    <w:p>
      <w:r>
        <w:rPr>
          <w:rFonts w:ascii="Calibri" w:hAnsi="Calibri"/>
          <w:sz w:val="22"/>
        </w:rPr>
        <w:t>Como entrar:</w:t>
      </w:r>
    </w:p>
    <w:p>
      <w:r>
        <w:rPr>
          <w:rFonts w:ascii="Calibri" w:hAnsi="Calibri"/>
          <w:sz w:val="22"/>
        </w:rPr>
        <w:t>1. Iniciar sesion como administrador. 2. Entrar a Operations para estado operativo. 3. Entrar a Security para controles, RLS y proteccion de rutas. 4. Entrar a AI &amp; agents para politicas de agentes. 5. Entrar a System para salud, compuertas, fuentes y despliegue.</w:t>
      </w:r>
    </w:p>
    <w:p>
      <w:r>
        <w:rPr>
          <w:rFonts w:ascii="Calibri" w:hAnsi="Calibri"/>
          <w:sz w:val="22"/>
        </w:rPr>
        <w:t>Que hace admin:</w:t>
      </w:r>
    </w:p>
    <w:p>
      <w:pPr>
        <w:pStyle w:val="ListBullet"/>
      </w:pPr>
      <w:r>
        <w:rPr>
          <w:rFonts w:ascii="Calibri" w:hAnsi="Calibri"/>
          <w:sz w:val="22"/>
        </w:rPr>
        <w:t>Supervisa usuarios y permisos.</w:t>
      </w:r>
    </w:p>
    <w:p>
      <w:pPr>
        <w:pStyle w:val="ListBullet"/>
      </w:pPr>
      <w:r>
        <w:rPr>
          <w:rFonts w:ascii="Calibri" w:hAnsi="Calibri"/>
          <w:sz w:val="22"/>
        </w:rPr>
        <w:t>Revisa modulos protegidos.</w:t>
      </w:r>
    </w:p>
    <w:p>
      <w:pPr>
        <w:pStyle w:val="ListBullet"/>
      </w:pPr>
      <w:r>
        <w:rPr>
          <w:rFonts w:ascii="Calibri" w:hAnsi="Calibri"/>
          <w:sz w:val="22"/>
        </w:rPr>
        <w:t>Administra fuentes regulatorias y su estado: live, publico, privado, convenio requerido o no disponible.</w:t>
      </w:r>
    </w:p>
    <w:p>
      <w:pPr>
        <w:pStyle w:val="ListBullet"/>
      </w:pPr>
      <w:r>
        <w:rPr>
          <w:rFonts w:ascii="Calibri" w:hAnsi="Calibri"/>
          <w:sz w:val="22"/>
        </w:rPr>
        <w:t>Controla notificaciones automaticas y sandbox de correo.</w:t>
      </w:r>
    </w:p>
    <w:p>
      <w:pPr>
        <w:pStyle w:val="ListBullet"/>
      </w:pPr>
      <w:r>
        <w:rPr>
          <w:rFonts w:ascii="Calibri" w:hAnsi="Calibri"/>
          <w:sz w:val="22"/>
        </w:rPr>
        <w:t>Define limites del agente conversacional.</w:t>
      </w:r>
    </w:p>
    <w:p>
      <w:pPr>
        <w:pStyle w:val="ListBullet"/>
      </w:pPr>
      <w:r>
        <w:rPr>
          <w:rFonts w:ascii="Calibri" w:hAnsi="Calibri"/>
          <w:sz w:val="22"/>
        </w:rPr>
        <w:t>Revisa persistencia operativa antes de activar escrituras reales.</w:t>
      </w:r>
    </w:p>
    <w:p>
      <w:pPr>
        <w:pStyle w:val="ListBullet"/>
      </w:pPr>
      <w:r>
        <w:rPr>
          <w:rFonts w:ascii="Calibri" w:hAnsi="Calibri"/>
          <w:sz w:val="22"/>
        </w:rPr>
        <w:t>Prepara evidencia para cutover de Nexus a NUXERA.</w:t>
      </w:r>
    </w:p>
    <w:p>
      <w:r>
        <w:rPr>
          <w:rFonts w:ascii="Calibri" w:hAnsi="Calibri"/>
          <w:sz w:val="22"/>
        </w:rPr>
        <w:t>Notificaciones:</w:t>
      </w:r>
    </w:p>
    <w:p>
      <w:r>
        <w:rPr>
          <w:rFonts w:ascii="Calibri" w:hAnsi="Calibri"/>
          <w:sz w:val="22"/>
        </w:rPr>
        <w:t>El servicio de notificaciones debe enviar correos automaticos a solicitantes y otorgantes para eventos como alta de expediente, documento faltante, solicitud de evidencia, cambio de estatus, invitacion a data room, recordatorio de SLA, alerta de riesgo y decision humana pendiente. En etapa actual debe operar primero en sandbox/dry-run, con plantillas aprobadas y sin adjuntar evidencia sensible.</w:t>
      </w:r>
    </w:p>
    <w:p>
      <w:r>
        <w:rPr>
          <w:rFonts w:ascii="Calibri" w:hAnsi="Calibri"/>
          <w:sz w:val="22"/>
        </w:rPr>
        <w:t>Agente/chat:</w:t>
      </w:r>
    </w:p>
    <w:p>
      <w:r>
        <w:rPr>
          <w:rFonts w:ascii="Calibri" w:hAnsi="Calibri"/>
          <w:sz w:val="22"/>
        </w:rPr>
        <w:t>El chat debe ayudar a explicar el expediente, responder preguntas sobre requisitos, resumir riesgos, orientar carga documental y preparar preguntas de comite. Debe alimentarse de datos autorizados: metadatos del expediente, checklist, documentos permitidos, bitacora, fuentes regulatorias y contexto jurisdiccional. No debe inventar evidencia, no debe aprobar operaciones, no debe enviar correos sin autorizacion y no debe mostrar informacion de otro usuario.</w:t>
      </w:r>
    </w:p>
    <w:p>
      <w:r>
        <w:rPr>
          <w:rFonts w:ascii="Calibri" w:hAnsi="Calibri"/>
          <w:sz w:val="22"/>
        </w:rPr>
        <w:t>Resultado esperado: administracion puede demostrar control, no solo funcionalidad visual.</w:t>
      </w:r>
    </w:p>
    <w:p>
      <w:pPr>
        <w:pStyle w:val="Heading1"/>
      </w:pPr>
      <w:r>
        <w:t>6. Resultado Global</w:t>
      </w:r>
    </w:p>
    <w:p>
      <w:r>
        <w:rPr>
          <w:rFonts w:ascii="Calibri" w:hAnsi="Calibri"/>
          <w:sz w:val="22"/>
        </w:rPr>
        <w:t>NUXERA queda lista como experiencia demostrable e investor-ready. Para produccion plena faltan principalmente pruebas con datos reales controlados, RLS fase 2, persistencia SQL final, proveedor de correo sandbox/live, decision de cutover y acuerdos/API de fuentes privadas.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Espanol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