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Manual Tecnico Detallado</w:t>
      </w:r>
    </w:p>
    <w:p>
      <w:r>
        <w:rPr>
          <w:rFonts w:ascii="Calibri" w:hAnsi="Calibri"/>
          <w:color w:val="555555"/>
          <w:sz w:val="23"/>
        </w:rPr>
        <w:t>Documento generado desde la evidencia NUXERA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Espanol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Fecha: 2026-07-29 Audiencia: equipo tecnico, CTO fractional, integradores, seguridad, DevOps y due diligence tecnico.</w:t>
      </w:r>
    </w:p>
    <w:p>
      <w:pPr>
        <w:pStyle w:val="Heading1"/>
      </w:pPr>
      <w:r>
        <w:t>1. Arquitectura General</w:t>
      </w:r>
    </w:p>
    <w:p>
      <w:r>
        <w:rPr>
          <w:rFonts w:ascii="Calibri" w:hAnsi="Calibri"/>
          <w:sz w:val="22"/>
        </w:rPr>
        <w:t>NUXERA conserva el repositorio NSD pero cambia la experiencia visible y operativa hacia la marca NUXERA. El frontend esta construido con React/Vite y expone una shell por roles. El backend Node/Express concentra rutas NUXERA, contratos de servicios, gates de persistencia, notificaciones, agentes y readiness operacional.</w:t>
      </w:r>
    </w:p>
    <w:p>
      <w:r>
        <w:rPr>
          <w:rFonts w:ascii="Calibri" w:hAnsi="Calibri"/>
          <w:sz w:val="22"/>
        </w:rPr>
        <w:t>Capas principales:</w:t>
      </w:r>
    </w:p>
    <w:p>
      <w:pPr>
        <w:pStyle w:val="ListBullet"/>
      </w:pPr>
      <w:r>
        <w:rPr>
          <w:rFonts w:ascii="Calibri" w:hAnsi="Calibri"/>
          <w:sz w:val="22"/>
        </w:rPr>
        <w:t>Frontend: pagina publica, dashboard, workspace de solicitante, workspace de otorgante y consola admin.</w:t>
      </w:r>
    </w:p>
    <w:p>
      <w:pPr>
        <w:pStyle w:val="ListBullet"/>
      </w:pPr>
      <w:r>
        <w:rPr>
          <w:rFonts w:ascii="Calibri" w:hAnsi="Calibri"/>
          <w:sz w:val="22"/>
        </w:rPr>
        <w:t>Backend: rutas protegidas, servicios de inteligencia jurisdiccional, contratos de notificaciones, readiness de agentes y persistencia operativa.</w:t>
      </w:r>
    </w:p>
    <w:p>
      <w:pPr>
        <w:pStyle w:val="ListBullet"/>
      </w:pPr>
      <w:r>
        <w:rPr>
          <w:rFonts w:ascii="Calibri" w:hAnsi="Calibri"/>
          <w:sz w:val="22"/>
        </w:rPr>
        <w:t>Datos: Supabase/SQL como destino previsto para expedientes, eventos, aprobaciones, documentos y trazabilidad.</w:t>
      </w:r>
    </w:p>
    <w:p>
      <w:pPr>
        <w:pStyle w:val="ListBullet"/>
      </w:pPr>
      <w:r>
        <w:rPr>
          <w:rFonts w:ascii="Calibri" w:hAnsi="Calibri"/>
          <w:sz w:val="22"/>
        </w:rPr>
        <w:t>IA: proveedores principales OpenAI y Anthropic; proveedores secundarios Kimi/DeepSeek para tareas de bajo riesgo; NVIDIA como experimental/no critico.</w:t>
      </w:r>
    </w:p>
    <w:p>
      <w:pPr>
        <w:pStyle w:val="ListBullet"/>
      </w:pPr>
      <w:r>
        <w:rPr>
          <w:rFonts w:ascii="Calibri" w:hAnsi="Calibri"/>
          <w:sz w:val="22"/>
        </w:rPr>
        <w:t>Integraciones: fuentes publicas, APIs privadas por convenio, correo transaccional y registros regulatorios.</w:t>
      </w:r>
    </w:p>
    <w:p>
      <w:pPr>
        <w:pStyle w:val="Heading1"/>
      </w:pPr>
      <w:r>
        <w:t>2. Frontend</w:t>
      </w:r>
    </w:p>
    <w:p>
      <w:r>
        <w:rPr>
          <w:rFonts w:ascii="Calibri" w:hAnsi="Calibri"/>
          <w:sz w:val="22"/>
        </w:rPr>
        <w:t>El frontend debe mantener tres separaciones claras:</w:t>
      </w:r>
    </w:p>
    <w:p>
      <w:pPr>
        <w:pStyle w:val="ListBullet"/>
      </w:pPr>
      <w:r>
        <w:rPr>
          <w:rFonts w:ascii="Calibri" w:hAnsi="Calibri"/>
          <w:sz w:val="22"/>
        </w:rPr>
        <w:t>Solicitante: prepara expediente y ve brechas propias.</w:t>
      </w:r>
    </w:p>
    <w:p>
      <w:pPr>
        <w:pStyle w:val="ListBullet"/>
      </w:pPr>
      <w:r>
        <w:rPr>
          <w:rFonts w:ascii="Calibri" w:hAnsi="Calibri"/>
          <w:sz w:val="22"/>
        </w:rPr>
        <w:t>Otorgante: revisa archivos autorizados, comite, jurisdiccion y riesgos.</w:t>
      </w:r>
    </w:p>
    <w:p>
      <w:pPr>
        <w:pStyle w:val="ListBullet"/>
      </w:pPr>
      <w:r>
        <w:rPr>
          <w:rFonts w:ascii="Calibri" w:hAnsi="Calibri"/>
          <w:sz w:val="22"/>
        </w:rPr>
        <w:t>Admin: opera seguridad, fuentes, gates, notificaciones, agentes y readiness.</w:t>
      </w:r>
    </w:p>
    <w:p>
      <w:r>
        <w:rPr>
          <w:rFonts w:ascii="Calibri" w:hAnsi="Calibri"/>
          <w:sz w:val="22"/>
        </w:rPr>
        <w:t>Los escenarios visuales comprobados fueron:</w:t>
      </w:r>
    </w:p>
    <w:p>
      <w:pPr>
        <w:pStyle w:val="ListBullet"/>
      </w:pPr>
      <w:r>
        <w:rPr>
          <w:rFonts w:ascii="Calibri" w:hAnsi="Calibri"/>
          <w:sz w:val="22"/>
        </w:rPr>
        <w:t>Public home.</w:t>
      </w:r>
    </w:p>
    <w:p>
      <w:pPr>
        <w:pStyle w:val="ListBullet"/>
      </w:pPr>
      <w:r>
        <w:rPr>
          <w:rFonts w:ascii="Calibri" w:hAnsi="Calibri"/>
          <w:sz w:val="22"/>
        </w:rPr>
        <w:t>Applicant dashboard.</w:t>
      </w:r>
    </w:p>
    <w:p>
      <w:pPr>
        <w:pStyle w:val="ListBullet"/>
      </w:pPr>
      <w:r>
        <w:rPr>
          <w:rFonts w:ascii="Calibri" w:hAnsi="Calibri"/>
          <w:sz w:val="22"/>
        </w:rPr>
        <w:t>Funding provider workspace.</w:t>
      </w:r>
    </w:p>
    <w:p>
      <w:pPr>
        <w:pStyle w:val="ListBullet"/>
      </w:pPr>
      <w:r>
        <w:rPr>
          <w:rFonts w:ascii="Calibri" w:hAnsi="Calibri"/>
          <w:sz w:val="22"/>
        </w:rPr>
        <w:t>Admin operations.</w:t>
      </w:r>
    </w:p>
    <w:p>
      <w:r>
        <w:rPr>
          <w:rFonts w:ascii="Calibri" w:hAnsi="Calibri"/>
          <w:sz w:val="22"/>
        </w:rPr>
        <w:t>Las capturas estan en `docs/nuxera-migration/docs/migration/assets/qa-2026-07-29/`.</w:t>
      </w:r>
    </w:p>
    <w:p>
      <w:pPr>
        <w:pStyle w:val="Heading1"/>
      </w:pPr>
      <w:r>
        <w:t>3. Backend y Contratos</w:t>
      </w:r>
    </w:p>
    <w:p>
      <w:r>
        <w:rPr>
          <w:rFonts w:ascii="Calibri" w:hAnsi="Calibri"/>
          <w:sz w:val="22"/>
        </w:rPr>
        <w:t>Servicios relevantes ya modelados:</w:t>
      </w:r>
    </w:p>
    <w:p>
      <w:pPr>
        <w:pStyle w:val="ListBullet"/>
      </w:pPr>
      <w:r>
        <w:rPr>
          <w:rFonts w:ascii="Consolas" w:hAnsi="Consolas"/>
          <w:color w:val="0B2545"/>
          <w:sz w:val="19"/>
        </w:rPr>
        <w:t>nuxeraJurisdictionIntelligenceService</w:t>
      </w:r>
      <w:r>
        <w:rPr>
          <w:rFonts w:ascii="Calibri" w:hAnsi="Calibri"/>
          <w:sz w:val="22"/>
        </w:rPr>
        <w:t>: produce analisis de jurisdiccion, fuentes regulatorias, alcance, limitaciones y plan de adquisicion de fuentes.</w:t>
      </w:r>
    </w:p>
    <w:p>
      <w:pPr>
        <w:pStyle w:val="ListBullet"/>
      </w:pPr>
      <w:r>
        <w:rPr>
          <w:rFonts w:ascii="Consolas" w:hAnsi="Consolas"/>
          <w:color w:val="0B2545"/>
          <w:sz w:val="19"/>
        </w:rPr>
        <w:t>nuxeraOperationalPersistenceService</w:t>
      </w:r>
      <w:r>
        <w:rPr>
          <w:rFonts w:ascii="Calibri" w:hAnsi="Calibri"/>
          <w:sz w:val="22"/>
        </w:rPr>
        <w:t>: define eventos y compuertas para escribir estado operativo de NUXERA.</w:t>
      </w:r>
    </w:p>
    <w:p>
      <w:pPr>
        <w:pStyle w:val="ListBullet"/>
      </w:pPr>
      <w:r>
        <w:rPr>
          <w:rFonts w:ascii="Consolas" w:hAnsi="Consolas"/>
          <w:color w:val="0B2545"/>
          <w:sz w:val="19"/>
        </w:rPr>
        <w:t>nuxeraConversationAgentReadinessService</w:t>
      </w:r>
      <w:r>
        <w:rPr>
          <w:rFonts w:ascii="Calibri" w:hAnsi="Calibri"/>
          <w:sz w:val="22"/>
        </w:rPr>
        <w:t>: define manifiesto de contexto, restricciones de agente y proveedores permitidos por riesgo.</w:t>
      </w:r>
    </w:p>
    <w:p>
      <w:pPr>
        <w:pStyle w:val="ListBullet"/>
      </w:pPr>
      <w:r>
        <w:rPr>
          <w:rFonts w:ascii="Calibri" w:hAnsi="Calibri"/>
          <w:sz w:val="22"/>
        </w:rPr>
        <w:t>Rutas NUXERA: exponen readiness, evidencia jurisdiccional y planes de persistencia bajo autenticacion.</w:t>
      </w:r>
    </w:p>
    <w:p>
      <w:r>
        <w:rPr>
          <w:rFonts w:ascii="Calibri" w:hAnsi="Calibri"/>
          <w:sz w:val="22"/>
        </w:rPr>
        <w:t>Principio tecnico: cualquier operacion sensible debe fallar cerrada sin token, rol y autorizacion. Las demos con localStorage no prueban autorizacion productiva; solo permiten QA visual.</w:t>
      </w:r>
    </w:p>
    <w:p>
      <w:pPr>
        <w:pStyle w:val="Heading1"/>
      </w:pPr>
      <w:r>
        <w:t>4. Agentes y Proveedores IA</w:t>
      </w:r>
    </w:p>
    <w:p>
      <w:r>
        <w:rPr>
          <w:rFonts w:ascii="Calibri" w:hAnsi="Calibri"/>
          <w:sz w:val="22"/>
        </w:rPr>
        <w:t>Politica recomendada:</w:t>
      </w:r>
    </w:p>
    <w:p>
      <w:pPr>
        <w:pStyle w:val="ListBullet"/>
      </w:pPr>
      <w:r>
        <w:rPr>
          <w:rFonts w:ascii="Calibri" w:hAnsi="Calibri"/>
          <w:sz w:val="22"/>
        </w:rPr>
        <w:t>OpenAI: razonamiento, analisis complejo, agentes principales, tareas de cumplimiento de mayor sensibilidad.</w:t>
      </w:r>
    </w:p>
    <w:p>
      <w:pPr>
        <w:pStyle w:val="ListBullet"/>
      </w:pPr>
      <w:r>
        <w:rPr>
          <w:rFonts w:ascii="Calibri" w:hAnsi="Calibri"/>
          <w:sz w:val="22"/>
        </w:rPr>
        <w:t>Anthropic: analisis documental, explicaciones largas, segundo proveedor principal y fallback serio.</w:t>
      </w:r>
    </w:p>
    <w:p>
      <w:pPr>
        <w:pStyle w:val="ListBullet"/>
      </w:pPr>
      <w:r>
        <w:rPr>
          <w:rFonts w:ascii="Calibri" w:hAnsi="Calibri"/>
          <w:sz w:val="22"/>
        </w:rPr>
        <w:t>Kimi: proveedor barato para tareas de bajo riesgo, borradores, clasificacion preliminar, resumen no vinculante y soporte interno.</w:t>
      </w:r>
    </w:p>
    <w:p>
      <w:pPr>
        <w:pStyle w:val="ListBullet"/>
      </w:pPr>
      <w:r>
        <w:rPr>
          <w:rFonts w:ascii="Calibri" w:hAnsi="Calibri"/>
          <w:sz w:val="22"/>
        </w:rPr>
        <w:t>DeepSeek: mantener detras de proveedores principales y solo para bajo riesgo si el costo/beneficio lo justifica.</w:t>
      </w:r>
    </w:p>
    <w:p>
      <w:pPr>
        <w:pStyle w:val="ListBullet"/>
      </w:pPr>
      <w:r>
        <w:rPr>
          <w:rFonts w:ascii="Calibri" w:hAnsi="Calibri"/>
          <w:sz w:val="22"/>
        </w:rPr>
        <w:t>NVIDIA: experimental; no bloquear presentacion ni cutover por este proveedor.</w:t>
      </w:r>
    </w:p>
    <w:p>
      <w:r>
        <w:rPr>
          <w:rFonts w:ascii="Calibri" w:hAnsi="Calibri"/>
          <w:sz w:val="22"/>
        </w:rPr>
        <w:t>El agente debe alimentarse de:</w:t>
      </w:r>
    </w:p>
    <w:p>
      <w:pPr>
        <w:pStyle w:val="ListBullet"/>
      </w:pPr>
      <w:r>
        <w:rPr>
          <w:rFonts w:ascii="Calibri" w:hAnsi="Calibri"/>
          <w:sz w:val="22"/>
        </w:rPr>
        <w:t>Metadatos del expediente.</w:t>
      </w:r>
    </w:p>
    <w:p>
      <w:pPr>
        <w:pStyle w:val="ListBullet"/>
      </w:pPr>
      <w:r>
        <w:rPr>
          <w:rFonts w:ascii="Calibri" w:hAnsi="Calibri"/>
          <w:sz w:val="22"/>
        </w:rPr>
        <w:t>Checklist y requisitos.</w:t>
      </w:r>
    </w:p>
    <w:p>
      <w:pPr>
        <w:pStyle w:val="ListBullet"/>
      </w:pPr>
      <w:r>
        <w:rPr>
          <w:rFonts w:ascii="Calibri" w:hAnsi="Calibri"/>
          <w:sz w:val="22"/>
        </w:rPr>
        <w:t>Documentos permitidos por autorizacion.</w:t>
      </w:r>
    </w:p>
    <w:p>
      <w:pPr>
        <w:pStyle w:val="ListBullet"/>
      </w:pPr>
      <w:r>
        <w:rPr>
          <w:rFonts w:ascii="Calibri" w:hAnsi="Calibri"/>
          <w:sz w:val="22"/>
        </w:rPr>
        <w:t>Historial de eventos.</w:t>
      </w:r>
    </w:p>
    <w:p>
      <w:pPr>
        <w:pStyle w:val="ListBullet"/>
      </w:pPr>
      <w:r>
        <w:rPr>
          <w:rFonts w:ascii="Calibri" w:hAnsi="Calibri"/>
          <w:sz w:val="22"/>
        </w:rPr>
        <w:t>Estado de notificaciones.</w:t>
      </w:r>
    </w:p>
    <w:p>
      <w:pPr>
        <w:pStyle w:val="ListBullet"/>
      </w:pPr>
      <w:r>
        <w:rPr>
          <w:rFonts w:ascii="Calibri" w:hAnsi="Calibri"/>
          <w:sz w:val="22"/>
        </w:rPr>
        <w:t>Fuentes regulatorias.</w:t>
      </w:r>
    </w:p>
    <w:p>
      <w:pPr>
        <w:pStyle w:val="ListBullet"/>
      </w:pPr>
      <w:r>
        <w:rPr>
          <w:rFonts w:ascii="Calibri" w:hAnsi="Calibri"/>
          <w:sz w:val="22"/>
        </w:rPr>
        <w:t>Contexto pais/estado/ciudad.</w:t>
      </w:r>
    </w:p>
    <w:p>
      <w:r>
        <w:rPr>
          <w:rFonts w:ascii="Calibri" w:hAnsi="Calibri"/>
          <w:sz w:val="22"/>
        </w:rPr>
        <w:t>Restricciones:</w:t>
      </w:r>
    </w:p>
    <w:p>
      <w:pPr>
        <w:pStyle w:val="ListBullet"/>
      </w:pPr>
      <w:r>
        <w:rPr>
          <w:rFonts w:ascii="Calibri" w:hAnsi="Calibri"/>
          <w:sz w:val="22"/>
        </w:rPr>
        <w:t>No aprobar financiamiento.</w:t>
      </w:r>
    </w:p>
    <w:p>
      <w:pPr>
        <w:pStyle w:val="ListBullet"/>
      </w:pPr>
      <w:r>
        <w:rPr>
          <w:rFonts w:ascii="Calibri" w:hAnsi="Calibri"/>
          <w:sz w:val="22"/>
        </w:rPr>
        <w:t>No enviar correos sin gate.</w:t>
      </w:r>
    </w:p>
    <w:p>
      <w:pPr>
        <w:pStyle w:val="ListBullet"/>
      </w:pPr>
      <w:r>
        <w:rPr>
          <w:rFonts w:ascii="Calibri" w:hAnsi="Calibri"/>
          <w:sz w:val="22"/>
        </w:rPr>
        <w:t>No mostrar datos fuera del alcance del usuario.</w:t>
      </w:r>
    </w:p>
    <w:p>
      <w:pPr>
        <w:pStyle w:val="ListBullet"/>
      </w:pPr>
      <w:r>
        <w:rPr>
          <w:rFonts w:ascii="Calibri" w:hAnsi="Calibri"/>
          <w:sz w:val="22"/>
        </w:rPr>
        <w:t>No inventar evidencia.</w:t>
      </w:r>
    </w:p>
    <w:p>
      <w:pPr>
        <w:pStyle w:val="ListBullet"/>
      </w:pPr>
      <w:r>
        <w:rPr>
          <w:rFonts w:ascii="Calibri" w:hAnsi="Calibri"/>
          <w:sz w:val="22"/>
        </w:rPr>
        <w:t>No convertir fuentes condicionales en fuentes verificadas.</w:t>
      </w:r>
    </w:p>
    <w:p>
      <w:pPr>
        <w:pStyle w:val="Heading1"/>
      </w:pPr>
      <w:r>
        <w:t>5. Notificaciones</w:t>
      </w:r>
    </w:p>
    <w:p>
      <w:r>
        <w:rPr>
          <w:rFonts w:ascii="Calibri" w:hAnsi="Calibri"/>
          <w:sz w:val="22"/>
        </w:rPr>
        <w:t>El servicio de correos debe operar en fases:</w:t>
      </w:r>
    </w:p>
    <w:p>
      <w:r>
        <w:rPr>
          <w:rFonts w:ascii="Calibri" w:hAnsi="Calibri"/>
          <w:sz w:val="22"/>
        </w:rPr>
        <w:t>1. Dry-run local: genera payloads y plantillas, no envia. 2. Sandbox: envia a destinatarios aprobados, sin adjuntos sensibles. 3. Produccion limitada: eventos de baja sensibilidad con logs y reintentos. 4. Produccion completa: requiere aprobacion legal, privacidad, plantillas firmadas y monitoreo.</w:t>
      </w:r>
    </w:p>
    <w:p>
      <w:r>
        <w:rPr>
          <w:rFonts w:ascii="Calibri" w:hAnsi="Calibri"/>
          <w:sz w:val="22"/>
        </w:rPr>
        <w:t>Eventos sugeridos:</w:t>
      </w:r>
    </w:p>
    <w:p>
      <w:pPr>
        <w:pStyle w:val="ListBullet"/>
      </w:pPr>
      <w:r>
        <w:rPr>
          <w:rFonts w:ascii="Calibri" w:hAnsi="Calibri"/>
          <w:sz w:val="22"/>
        </w:rPr>
        <w:t>Expediente creado.</w:t>
      </w:r>
    </w:p>
    <w:p>
      <w:pPr>
        <w:pStyle w:val="ListBullet"/>
      </w:pPr>
      <w:r>
        <w:rPr>
          <w:rFonts w:ascii="Calibri" w:hAnsi="Calibri"/>
          <w:sz w:val="22"/>
        </w:rPr>
        <w:t>Documento faltante.</w:t>
      </w:r>
    </w:p>
    <w:p>
      <w:pPr>
        <w:pStyle w:val="ListBullet"/>
      </w:pPr>
      <w:r>
        <w:rPr>
          <w:rFonts w:ascii="Calibri" w:hAnsi="Calibri"/>
          <w:sz w:val="22"/>
        </w:rPr>
        <w:t>Evidencia recibida.</w:t>
      </w:r>
    </w:p>
    <w:p>
      <w:pPr>
        <w:pStyle w:val="ListBullet"/>
      </w:pPr>
      <w:r>
        <w:rPr>
          <w:rFonts w:ascii="Calibri" w:hAnsi="Calibri"/>
          <w:sz w:val="22"/>
        </w:rPr>
        <w:t>Cambio de estatus.</w:t>
      </w:r>
    </w:p>
    <w:p>
      <w:pPr>
        <w:pStyle w:val="ListBullet"/>
      </w:pPr>
      <w:r>
        <w:rPr>
          <w:rFonts w:ascii="Calibri" w:hAnsi="Calibri"/>
          <w:sz w:val="22"/>
        </w:rPr>
        <w:t>Invitacion a data room.</w:t>
      </w:r>
    </w:p>
    <w:p>
      <w:pPr>
        <w:pStyle w:val="ListBullet"/>
      </w:pPr>
      <w:r>
        <w:rPr>
          <w:rFonts w:ascii="Calibri" w:hAnsi="Calibri"/>
          <w:sz w:val="22"/>
        </w:rPr>
        <w:t>SLA proximo a vencer.</w:t>
      </w:r>
    </w:p>
    <w:p>
      <w:pPr>
        <w:pStyle w:val="ListBullet"/>
      </w:pPr>
      <w:r>
        <w:rPr>
          <w:rFonts w:ascii="Calibri" w:hAnsi="Calibri"/>
          <w:sz w:val="22"/>
        </w:rPr>
        <w:t>Revision humana requerida.</w:t>
      </w:r>
    </w:p>
    <w:p>
      <w:pPr>
        <w:pStyle w:val="ListBullet"/>
      </w:pPr>
      <w:r>
        <w:rPr>
          <w:rFonts w:ascii="Calibri" w:hAnsi="Calibri"/>
          <w:sz w:val="22"/>
        </w:rPr>
        <w:t>Decision de comite pendiente o registrada.</w:t>
      </w:r>
    </w:p>
    <w:p>
      <w:pPr>
        <w:pStyle w:val="Heading1"/>
      </w:pPr>
      <w:r>
        <w:t>6. Datos, RLS y Persistencia</w:t>
      </w:r>
    </w:p>
    <w:p>
      <w:r>
        <w:rPr>
          <w:rFonts w:ascii="Calibri" w:hAnsi="Calibri"/>
          <w:sz w:val="22"/>
        </w:rPr>
        <w:t>Antes de produccion plena deben validarse:</w:t>
      </w:r>
    </w:p>
    <w:p>
      <w:pPr>
        <w:pStyle w:val="ListBullet"/>
      </w:pPr>
      <w:r>
        <w:rPr>
          <w:rFonts w:ascii="Calibri" w:hAnsi="Calibri"/>
          <w:sz w:val="22"/>
        </w:rPr>
        <w:t>Tablas para eventos de caso.</w:t>
      </w:r>
    </w:p>
    <w:p>
      <w:pPr>
        <w:pStyle w:val="ListBullet"/>
      </w:pPr>
      <w:r>
        <w:rPr>
          <w:rFonts w:ascii="Calibri" w:hAnsi="Calibri"/>
          <w:sz w:val="22"/>
        </w:rPr>
        <w:t>Tabla o ledger para aprobaciones de notificacion.</w:t>
      </w:r>
    </w:p>
    <w:p>
      <w:pPr>
        <w:pStyle w:val="ListBullet"/>
      </w:pPr>
      <w:r>
        <w:rPr>
          <w:rFonts w:ascii="Calibri" w:hAnsi="Calibri"/>
          <w:sz w:val="22"/>
        </w:rPr>
        <w:t>Evidencia de procedencia documental.</w:t>
      </w:r>
    </w:p>
    <w:p>
      <w:pPr>
        <w:pStyle w:val="ListBullet"/>
      </w:pPr>
      <w:r>
        <w:rPr>
          <w:rFonts w:ascii="Calibri" w:hAnsi="Calibri"/>
          <w:sz w:val="22"/>
        </w:rPr>
        <w:t>Politicas RLS para solicitante, otorgante y admin.</w:t>
      </w:r>
    </w:p>
    <w:p>
      <w:pPr>
        <w:pStyle w:val="ListBullet"/>
      </w:pPr>
      <w:r>
        <w:rPr>
          <w:rFonts w:ascii="Calibri" w:hAnsi="Calibri"/>
          <w:sz w:val="22"/>
        </w:rPr>
        <w:t>Tokens reales o equivalentes de prueba.</w:t>
      </w:r>
    </w:p>
    <w:p>
      <w:pPr>
        <w:pStyle w:val="ListBullet"/>
      </w:pPr>
      <w:r>
        <w:rPr>
          <w:rFonts w:ascii="Calibri" w:hAnsi="Calibri"/>
          <w:sz w:val="22"/>
        </w:rPr>
        <w:t>Pruebas de que un solicitante no ve expedientes ajenos.</w:t>
      </w:r>
    </w:p>
    <w:p>
      <w:pPr>
        <w:pStyle w:val="ListBullet"/>
      </w:pPr>
      <w:r>
        <w:rPr>
          <w:rFonts w:ascii="Calibri" w:hAnsi="Calibri"/>
          <w:sz w:val="22"/>
        </w:rPr>
        <w:t>Pruebas de que un otorgante solo ve data rooms autorizados.</w:t>
      </w:r>
    </w:p>
    <w:p>
      <w:pPr>
        <w:pStyle w:val="ListBullet"/>
      </w:pPr>
      <w:r>
        <w:rPr>
          <w:rFonts w:ascii="Calibri" w:hAnsi="Calibri"/>
          <w:sz w:val="22"/>
        </w:rPr>
        <w:t>Pruebas de que admin requiere rol privilegiado.</w:t>
      </w:r>
    </w:p>
    <w:p>
      <w:pPr>
        <w:pStyle w:val="Heading1"/>
      </w:pPr>
      <w:r>
        <w:t>7. Entes Regulatorios y Pais/Ciudad</w:t>
      </w:r>
    </w:p>
    <w:p>
      <w:r>
        <w:rPr>
          <w:rFonts w:ascii="Calibri" w:hAnsi="Calibri"/>
          <w:sz w:val="22"/>
        </w:rPr>
        <w:t>Para Medio Oriente, especialmente EAU, la plataforma debe clasificar fuentes como:</w:t>
      </w:r>
    </w:p>
    <w:p>
      <w:pPr>
        <w:pStyle w:val="ListBullet"/>
      </w:pPr>
      <w:r>
        <w:rPr>
          <w:rFonts w:ascii="Calibri" w:hAnsi="Calibri"/>
          <w:sz w:val="22"/>
        </w:rPr>
        <w:t>Publica descargable o consultable.</w:t>
      </w:r>
    </w:p>
    <w:p>
      <w:pPr>
        <w:pStyle w:val="ListBullet"/>
      </w:pPr>
      <w:r>
        <w:rPr>
          <w:rFonts w:ascii="Calibri" w:hAnsi="Calibri"/>
          <w:sz w:val="22"/>
        </w:rPr>
        <w:t>Publica sin API estable.</w:t>
      </w:r>
    </w:p>
    <w:p>
      <w:pPr>
        <w:pStyle w:val="ListBullet"/>
      </w:pPr>
      <w:r>
        <w:rPr>
          <w:rFonts w:ascii="Calibri" w:hAnsi="Calibri"/>
          <w:sz w:val="22"/>
        </w:rPr>
        <w:t>Privada por convenio.</w:t>
      </w:r>
    </w:p>
    <w:p>
      <w:pPr>
        <w:pStyle w:val="ListBullet"/>
      </w:pPr>
      <w:r>
        <w:rPr>
          <w:rFonts w:ascii="Calibri" w:hAnsi="Calibri"/>
          <w:sz w:val="22"/>
        </w:rPr>
        <w:t>Requiere aprobacion gubernamental.</w:t>
      </w:r>
    </w:p>
    <w:p>
      <w:pPr>
        <w:pStyle w:val="ListBullet"/>
      </w:pPr>
      <w:r>
        <w:rPr>
          <w:rFonts w:ascii="Calibri" w:hAnsi="Calibri"/>
          <w:sz w:val="22"/>
        </w:rPr>
        <w:t>No disponible para automatizacion.</w:t>
      </w:r>
    </w:p>
    <w:p>
      <w:r>
        <w:rPr>
          <w:rFonts w:ascii="Calibri" w:hAnsi="Calibri"/>
          <w:sz w:val="22"/>
        </w:rPr>
        <w:t>Fuentes iniciales: UAE PASS, EOCN, SCA/CMA, CBUAE, DFSA, FSRA/ADGM, ADGM Registration Authority, VARA, FTA, National Economic Registry y registros economicos locales.</w:t>
      </w:r>
    </w:p>
    <w:p>
      <w:r>
        <w:rPr>
          <w:rFonts w:ascii="Calibri" w:hAnsi="Calibri"/>
          <w:sz w:val="22"/>
        </w:rPr>
        <w:t>Para pais/estado/ciudad, el motor debe separar datos economicos, politicos, sociales, regulatorios y territoriales, con fecha de consulta, fuente y limitacion.</w:t>
      </w:r>
    </w:p>
    <w:p>
      <w:pPr>
        <w:pStyle w:val="Heading1"/>
      </w:pPr>
      <w:r>
        <w:t>8. Pruebas Ejecutadas en esta Sesion</w:t>
      </w:r>
    </w:p>
    <w:p>
      <w:pPr>
        <w:pStyle w:val="ListBullet"/>
      </w:pPr>
      <w:r>
        <w:rPr>
          <w:rFonts w:ascii="Calibri" w:hAnsi="Calibri"/>
          <w:sz w:val="22"/>
        </w:rPr>
        <w:t>Backend enfocado: 86/86 pruebas aprobadas.</w:t>
      </w:r>
    </w:p>
    <w:p>
      <w:pPr>
        <w:pStyle w:val="ListBullet"/>
      </w:pPr>
      <w:r>
        <w:rPr>
          <w:rFonts w:ascii="Calibri" w:hAnsi="Calibri"/>
          <w:sz w:val="22"/>
        </w:rPr>
        <w:t>Frontend NUXERA: 125/125 pruebas aprobadas.</w:t>
      </w:r>
    </w:p>
    <w:p>
      <w:pPr>
        <w:pStyle w:val="ListBullet"/>
      </w:pPr>
      <w:r>
        <w:rPr>
          <w:rFonts w:ascii="Calibri" w:hAnsi="Calibri"/>
          <w:sz w:val="22"/>
        </w:rPr>
        <w:t>Build Vite: aprobado.</w:t>
      </w:r>
    </w:p>
    <w:p>
      <w:pPr>
        <w:pStyle w:val="ListBullet"/>
      </w:pPr>
      <w:r>
        <w:rPr>
          <w:rFonts w:ascii="Calibri" w:hAnsi="Calibri"/>
          <w:sz w:val="22"/>
        </w:rPr>
        <w:t>Capturas Playwright: 4/4 escenarios aprobados.</w:t>
      </w:r>
    </w:p>
    <w:p>
      <w:pPr>
        <w:pStyle w:val="ListBullet"/>
      </w:pPr>
      <w:r>
        <w:rPr>
          <w:rFonts w:ascii="Calibri" w:hAnsi="Calibri"/>
          <w:sz w:val="22"/>
        </w:rPr>
        <w:t>Smoke Vercel: aprobado para home main y alias production.</w:t>
      </w:r>
    </w:p>
    <w:p>
      <w:pPr>
        <w:pStyle w:val="ListBullet"/>
      </w:pPr>
      <w:r>
        <w:rPr>
          <w:rFonts w:ascii="Calibri" w:hAnsi="Calibri"/>
          <w:sz w:val="22"/>
        </w:rPr>
        <w:t>Smoke Render: timeout de 20 segundos en esta corrida; debe revisarse disponibilidad/cold start antes de demo.</w:t>
      </w:r>
    </w:p>
    <w:p>
      <w:pPr>
        <w:pStyle w:val="Heading1"/>
      </w:pPr>
      <w:r>
        <w:t>9. Pendientes Tecnicos Reales</w:t>
      </w:r>
    </w:p>
    <w:p>
      <w:r>
        <w:rPr>
          <w:rFonts w:ascii="Calibri" w:hAnsi="Calibri"/>
          <w:sz w:val="22"/>
        </w:rPr>
        <w:t>1. Ejecutar RLS fase 2 con usuarios/tokens reales o staging. 2. Rehearsal SQL no productivo para persistencia. 3. Probar proveedor de correo sandbox con destinatario aprobado. 4. Verificar Render o mover backend a runtime mas estable antes de demo con APIs vivas. 5. Definir matriz final de fuentes privadas y convenios. 6. Ejecutar cutover controlado de Nexus a NUXERA.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Espanol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