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B2545"/>
          <w:sz w:val="48"/>
        </w:rPr>
        <w:t>NUXERA - Extended Real Remaining Work, Production and Cutover Plan</w:t>
      </w:r>
    </w:p>
    <w:p>
      <w:r>
        <w:rPr>
          <w:rFonts w:ascii="Calibri" w:hAnsi="Calibri"/>
          <w:color w:val="555555"/>
          <w:sz w:val="23"/>
        </w:rPr>
        <w:t>Document generated from NUXERA evidence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6984"/>
      </w:tblGrid>
      <w:tr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Campo</w:t>
            </w:r>
          </w:p>
        </w:tc>
        <w:tc>
          <w:tcPr>
            <w:tcW w:type="dxa" w:w="4968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Detalle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Fecha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2026-07-29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Paquete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English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Producto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NUXERA Financial Intelligence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Uso</w:t>
            </w:r>
          </w:p>
        </w:tc>
        <w:tc>
          <w:tcPr>
            <w:tcW w:type="dxa" w:w="6984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Revision interna, socio, inversionistas y decision de cutover</w:t>
            </w:r>
          </w:p>
        </w:tc>
      </w:tr>
    </w:tbl>
    <w:p/>
    <w:p>
      <w:r>
        <w:rPr>
          <w:rFonts w:ascii="Calibri" w:hAnsi="Calibri"/>
          <w:sz w:val="22"/>
        </w:rPr>
        <w:t>Fecha/Date: 2026-07-29</w:t>
      </w:r>
    </w:p>
    <w:p>
      <w:pPr>
        <w:pStyle w:val="Heading1"/>
      </w:pPr>
      <w:r>
        <w:t>1. Estado</w:t>
      </w:r>
    </w:p>
    <w:p>
      <w:pPr>
        <w:pStyle w:val="ListBullet"/>
      </w:pPr>
      <w:r>
        <w:rPr>
          <w:rFonts w:ascii="Calibri" w:hAnsi="Calibri"/>
          <w:sz w:val="22"/>
        </w:rPr>
        <w:t>90-92% demo/investor-ready</w:t>
      </w:r>
    </w:p>
    <w:p>
      <w:pPr>
        <w:pStyle w:val="ListBullet"/>
      </w:pPr>
      <w:r>
        <w:rPr>
          <w:rFonts w:ascii="Calibri" w:hAnsi="Calibri"/>
          <w:sz w:val="22"/>
        </w:rPr>
        <w:t>78-82% production real</w:t>
      </w:r>
    </w:p>
    <w:p>
      <w:pPr>
        <w:pStyle w:val="ListBullet"/>
      </w:pPr>
      <w:r>
        <w:rPr>
          <w:rFonts w:ascii="Calibri" w:hAnsi="Calibri"/>
          <w:sz w:val="22"/>
        </w:rPr>
        <w:t>Falta cerrar ciclos reales, no mas pantallas</w:t>
      </w:r>
    </w:p>
    <w:p>
      <w:pPr>
        <w:pStyle w:val="Heading1"/>
      </w:pPr>
      <w:r>
        <w:t>2. Criticos</w:t>
      </w:r>
    </w:p>
    <w:p>
      <w:pPr>
        <w:pStyle w:val="ListBullet"/>
      </w:pPr>
      <w:r>
        <w:rPr>
          <w:rFonts w:ascii="Calibri" w:hAnsi="Calibri"/>
          <w:sz w:val="22"/>
        </w:rPr>
        <w:t>RLS fase 2</w:t>
      </w:r>
    </w:p>
    <w:p>
      <w:pPr>
        <w:pStyle w:val="ListBullet"/>
      </w:pPr>
      <w:r>
        <w:rPr>
          <w:rFonts w:ascii="Calibri" w:hAnsi="Calibri"/>
          <w:sz w:val="22"/>
        </w:rPr>
        <w:t>SQL persistence rehearsal</w:t>
      </w:r>
    </w:p>
    <w:p>
      <w:pPr>
        <w:pStyle w:val="ListBullet"/>
      </w:pPr>
      <w:r>
        <w:rPr>
          <w:rFonts w:ascii="Calibri" w:hAnsi="Calibri"/>
          <w:sz w:val="22"/>
        </w:rPr>
        <w:t>correo sandbox</w:t>
      </w:r>
    </w:p>
    <w:p>
      <w:pPr>
        <w:pStyle w:val="ListBullet"/>
      </w:pPr>
      <w:r>
        <w:rPr>
          <w:rFonts w:ascii="Calibri" w:hAnsi="Calibri"/>
          <w:sz w:val="22"/>
        </w:rPr>
        <w:t>agente con contexto autorizado</w:t>
      </w:r>
    </w:p>
    <w:p>
      <w:pPr>
        <w:pStyle w:val="ListBullet"/>
      </w:pPr>
      <w:r>
        <w:rPr>
          <w:rFonts w:ascii="Calibri" w:hAnsi="Calibri"/>
          <w:sz w:val="22"/>
        </w:rPr>
        <w:t>backend estable</w:t>
      </w:r>
    </w:p>
    <w:p>
      <w:pPr>
        <w:pStyle w:val="ListBullet"/>
      </w:pPr>
      <w:r>
        <w:rPr>
          <w:rFonts w:ascii="Calibri" w:hAnsi="Calibri"/>
          <w:sz w:val="22"/>
        </w:rPr>
        <w:t>fuentes privadas por convenio</w:t>
      </w:r>
    </w:p>
    <w:p>
      <w:pPr>
        <w:pStyle w:val="ListBullet"/>
      </w:pPr>
      <w:r>
        <w:rPr>
          <w:rFonts w:ascii="Calibri" w:hAnsi="Calibri"/>
          <w:sz w:val="22"/>
        </w:rPr>
        <w:t>cutover Nexus-&gt;NUXERA</w:t>
      </w:r>
    </w:p>
    <w:p>
      <w:pPr>
        <w:pStyle w:val="ListBullet"/>
      </w:pPr>
      <w:r>
        <w:rPr>
          <w:rFonts w:ascii="Calibri" w:hAnsi="Calibri"/>
          <w:sz w:val="22"/>
        </w:rPr>
        <w:t>rollback</w:t>
      </w:r>
    </w:p>
    <w:p>
      <w:pPr>
        <w:pStyle w:val="Heading1"/>
      </w:pPr>
      <w:r>
        <w:t>3. Plan de cutover</w:t>
      </w:r>
    </w:p>
    <w:p>
      <w:r>
        <w:rPr>
          <w:rFonts w:ascii="Calibri" w:hAnsi="Calibri"/>
          <w:sz w:val="22"/>
        </w:rPr>
        <w:t>1. Inventario de URLs 2. redirecciones 3. freeze 4. QA 5. demo final 6. backup rollback 7. cambio principal 8. monitoreo 9. correcciones 10. retiro remanentes</w:t>
      </w:r>
    </w:p>
    <w:p>
      <w:pPr>
        <w:pStyle w:val="Heading1"/>
      </w:pPr>
      <w:r>
        <w:t>4. Riesgos</w:t>
      </w:r>
    </w:p>
    <w:p>
      <w:pPr>
        <w:pStyle w:val="ListBullet"/>
      </w:pPr>
      <w:r>
        <w:rPr>
          <w:rFonts w:ascii="Calibri" w:hAnsi="Calibri"/>
          <w:sz w:val="22"/>
        </w:rPr>
        <w:t>backend frio</w:t>
      </w:r>
    </w:p>
    <w:p>
      <w:pPr>
        <w:pStyle w:val="ListBullet"/>
      </w:pPr>
      <w:r>
        <w:rPr>
          <w:rFonts w:ascii="Calibri" w:hAnsi="Calibri"/>
          <w:sz w:val="22"/>
        </w:rPr>
        <w:t>prometer fuentes privadas</w:t>
      </w:r>
    </w:p>
    <w:p>
      <w:pPr>
        <w:pStyle w:val="ListBullet"/>
      </w:pPr>
      <w:r>
        <w:rPr>
          <w:rFonts w:ascii="Calibri" w:hAnsi="Calibri"/>
          <w:sz w:val="22"/>
        </w:rPr>
        <w:t>correo sin sandbox</w:t>
      </w:r>
    </w:p>
    <w:p>
      <w:pPr>
        <w:pStyle w:val="ListBullet"/>
      </w:pPr>
      <w:r>
        <w:rPr>
          <w:rFonts w:ascii="Calibri" w:hAnsi="Calibri"/>
          <w:sz w:val="22"/>
        </w:rPr>
        <w:t>agente sin RLS</w:t>
      </w:r>
    </w:p>
    <w:p>
      <w:pPr>
        <w:pStyle w:val="ListBullet"/>
      </w:pPr>
      <w:r>
        <w:rPr>
          <w:rFonts w:ascii="Calibri" w:hAnsi="Calibri"/>
          <w:sz w:val="22"/>
        </w:rPr>
        <w:t>score confundido con aprobacion</w:t>
      </w:r>
    </w:p>
    <w:p>
      <w:pPr>
        <w:pStyle w:val="ListBullet"/>
      </w:pPr>
      <w:r>
        <w:rPr>
          <w:rFonts w:ascii="Calibri" w:hAnsi="Calibri"/>
          <w:sz w:val="22"/>
        </w:rPr>
        <w:t>tabs duplicadas</w:t>
      </w:r>
    </w:p>
    <w:p>
      <w:pPr>
        <w:pStyle w:val="Heading1"/>
      </w:pPr>
      <w:r>
        <w:t>5. Recomendacion</w:t>
      </w:r>
    </w:p>
    <w:p>
      <w:r>
        <w:rPr>
          <w:rFonts w:ascii="Calibri" w:hAnsi="Calibri"/>
          <w:sz w:val="22"/>
        </w:rPr>
        <w:t>Avanzar para inversionistas con demo controlada; no activar clientes reales hasta cerrar RLS, SQL, correo, agente seguro y cutover.</w:t>
      </w:r>
    </w:p>
    <w:p>
      <w:pPr>
        <w:pStyle w:val="Heading1"/>
      </w:pPr>
      <w:r>
        <w:t>6. Roadmap operativo por semanas</w:t>
      </w:r>
    </w:p>
    <w:p>
      <w:r>
        <w:rPr>
          <w:rFonts w:ascii="Calibri" w:hAnsi="Calibri"/>
          <w:sz w:val="22"/>
        </w:rPr>
        <w:t>1. Semana 1: RLS staging y SQL rehearsal 2. Semana 2: sandbox correo y agente con contexto 3. Semana 3: fuentes jurisdiccionales y EAU priorizadas 4. Semana 4: cutover controlado y monitoreo 5. Semana 5: pilotos con datos limitados 6. Semana 6: retroalimentacion, hardening y produccion limitada</w:t>
      </w:r>
    </w:p>
    <w:p>
      <w:pPr>
        <w:pStyle w:val="Heading1"/>
      </w:pPr>
      <w:r>
        <w:t>7. Checklist final de produccion</w:t>
      </w:r>
    </w:p>
    <w:p>
      <w:pPr>
        <w:pStyle w:val="ListBullet"/>
      </w:pPr>
      <w:r>
        <w:rPr>
          <w:rFonts w:ascii="Calibri" w:hAnsi="Calibri"/>
          <w:sz w:val="22"/>
        </w:rPr>
        <w:t>RLS verificado</w:t>
      </w:r>
    </w:p>
    <w:p>
      <w:pPr>
        <w:pStyle w:val="ListBullet"/>
      </w:pPr>
      <w:r>
        <w:rPr>
          <w:rFonts w:ascii="Calibri" w:hAnsi="Calibri"/>
          <w:sz w:val="22"/>
        </w:rPr>
        <w:t>SQL migrado y probado</w:t>
      </w:r>
    </w:p>
    <w:p>
      <w:pPr>
        <w:pStyle w:val="ListBullet"/>
      </w:pPr>
      <w:r>
        <w:rPr>
          <w:rFonts w:ascii="Calibri" w:hAnsi="Calibri"/>
          <w:sz w:val="22"/>
        </w:rPr>
        <w:t>correo sandbox aprobado</w:t>
      </w:r>
    </w:p>
    <w:p>
      <w:pPr>
        <w:pStyle w:val="ListBullet"/>
      </w:pPr>
      <w:r>
        <w:rPr>
          <w:rFonts w:ascii="Calibri" w:hAnsi="Calibri"/>
          <w:sz w:val="22"/>
        </w:rPr>
        <w:t>plantillas aprobadas</w:t>
      </w:r>
    </w:p>
    <w:p>
      <w:pPr>
        <w:pStyle w:val="ListBullet"/>
      </w:pPr>
      <w:r>
        <w:rPr>
          <w:rFonts w:ascii="Calibri" w:hAnsi="Calibri"/>
          <w:sz w:val="22"/>
        </w:rPr>
        <w:t>agente restringido por rol</w:t>
      </w:r>
    </w:p>
    <w:p>
      <w:pPr>
        <w:pStyle w:val="ListBullet"/>
      </w:pPr>
      <w:r>
        <w:rPr>
          <w:rFonts w:ascii="Calibri" w:hAnsi="Calibri"/>
          <w:sz w:val="22"/>
        </w:rPr>
        <w:t>backend estable</w:t>
      </w:r>
    </w:p>
    <w:p>
      <w:pPr>
        <w:pStyle w:val="ListBullet"/>
      </w:pPr>
      <w:r>
        <w:rPr>
          <w:rFonts w:ascii="Calibri" w:hAnsi="Calibri"/>
          <w:sz w:val="22"/>
        </w:rPr>
        <w:t>fuentes privadas marcadas correctamente</w:t>
      </w:r>
    </w:p>
    <w:p>
      <w:pPr>
        <w:pStyle w:val="ListBullet"/>
      </w:pPr>
      <w:r>
        <w:rPr>
          <w:rFonts w:ascii="Calibri" w:hAnsi="Calibri"/>
          <w:sz w:val="22"/>
        </w:rPr>
        <w:t>Nexus redirigido</w:t>
      </w:r>
    </w:p>
    <w:p>
      <w:pPr>
        <w:pStyle w:val="ListBullet"/>
      </w:pPr>
      <w:r>
        <w:rPr>
          <w:rFonts w:ascii="Calibri" w:hAnsi="Calibri"/>
          <w:sz w:val="22"/>
        </w:rPr>
        <w:t>rollback listo</w:t>
      </w:r>
    </w:p>
    <w:p>
      <w:pPr>
        <w:pStyle w:val="ListBullet"/>
      </w:pPr>
      <w:r>
        <w:rPr>
          <w:rFonts w:ascii="Calibri" w:hAnsi="Calibri"/>
          <w:sz w:val="22"/>
        </w:rPr>
        <w:t>manuales actualizados</w:t>
      </w:r>
    </w:p>
    <w:p>
      <w:pPr>
        <w:pStyle w:val="ListBullet"/>
      </w:pPr>
      <w:r>
        <w:rPr>
          <w:rFonts w:ascii="Calibri" w:hAnsi="Calibri"/>
          <w:sz w:val="22"/>
        </w:rPr>
        <w:t>demo script listo</w:t>
      </w:r>
    </w:p>
    <w:p>
      <w:pPr>
        <w:pStyle w:val="ListBullet"/>
      </w:pPr>
      <w:r>
        <w:rPr>
          <w:rFonts w:ascii="Calibri" w:hAnsi="Calibri"/>
          <w:sz w:val="22"/>
        </w:rPr>
        <w:t>monitoreo activo</w:t>
      </w:r>
    </w:p>
    <w:p>
      <w:pPr>
        <w:pStyle w:val="Heading1"/>
      </w:pPr>
      <w:r>
        <w:t>8. Decision ejecutiva</w:t>
      </w:r>
    </w:p>
    <w:p>
      <w:r>
        <w:rPr>
          <w:rFonts w:ascii="Calibri" w:hAnsi="Calibri"/>
          <w:sz w:val="22"/>
        </w:rPr>
        <w:t>La recomendacion es avanzar con presentacion a inversionistas, pero no vender como produccion plenamente automatizada hasta cerrar RLS, SQL, correo, agentes y backend estable. La narrativa correcta es: plataforma viva, producto demostrable, controles disenados y roadmap claro de produccion.</w:t>
      </w:r>
    </w:p>
    <w:sectPr w:rsidR="00FC693F" w:rsidRPr="0006063C" w:rsidSect="00034616">
      <w:footerReference w:type="default" r:id="rId9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7"/>
      </w:rPr>
      <w:t>NUXERA Financial Intelligence - English - 2026-07-29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