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8"/>
        </w:rPr>
        <w:t>NUXERA - Manual Funcional Extendido</w:t>
      </w:r>
    </w:p>
    <w:p>
      <w:r>
        <w:rPr>
          <w:rFonts w:ascii="Calibri" w:hAnsi="Calibri"/>
          <w:color w:val="555555"/>
          <w:sz w:val="23"/>
        </w:rPr>
        <w:t>Documento generado desde la evidencia NUXERA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6984"/>
      </w:tblGrid>
      <w:tr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Campo</w:t>
            </w:r>
          </w:p>
        </w:tc>
        <w:tc>
          <w:tcPr>
            <w:tcW w:type="dxa" w:w="4968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Detalle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Fecha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2026-07-29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Paquete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Espanol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Producto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NUXERA Financial Intelligence</w:t>
            </w:r>
          </w:p>
        </w:tc>
      </w:tr>
      <w:tr>
        <w:tc>
          <w:tcPr>
            <w:tcW w:type="dxa" w:w="2376"/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Uso</w:t>
            </w:r>
          </w:p>
        </w:tc>
        <w:tc>
          <w:tcPr>
            <w:tcW w:type="dxa" w:w="6984"/>
          </w:tcPr>
          <w:p>
            <w:pPr>
              <w:spacing w:after="0"/>
            </w:pPr>
            <w:r>
              <w:rPr>
                <w:rFonts w:ascii="Calibri" w:hAnsi="Calibri"/>
                <w:b w:val="0"/>
                <w:sz w:val="19"/>
              </w:rPr>
              <w:t>Revision interna, socio, inversionistas y decision de cutover</w:t>
            </w:r>
          </w:p>
        </w:tc>
      </w:tr>
    </w:tbl>
    <w:p/>
    <w:p>
      <w:r>
        <w:rPr>
          <w:rFonts w:ascii="Calibri" w:hAnsi="Calibri"/>
          <w:sz w:val="22"/>
        </w:rPr>
        <w:t>Fecha/Date: 2026-07-29 Audiencia/Audience: negocio, cumplimiento, usuarios operativos, socios e inversionistas.</w:t>
      </w:r>
    </w:p>
    <w:p>
      <w:r>
        <w:rPr>
          <w:rFonts w:ascii="Calibri" w:hAnsi="Calibri"/>
          <w:sz w:val="22"/>
        </w:rPr>
        <w:t>Este documento reemplaza el manual corto previo. Su objetivo es explicar NUXERA como plataforma operativa, no como resumen ejecutivo: que hace cada area, como entrar, que datos se capturan, como se cargan documentos, que revisa el otorgante, como actua administracion, que hacen agentes/notificaciones y que resultado produce cada ciclo.</w:t>
      </w:r>
    </w:p>
    <w:p>
      <w:pPr>
        <w:pStyle w:val="Heading1"/>
      </w:pPr>
      <w:r>
        <w:t>1. Concepto general</w:t>
      </w:r>
    </w:p>
    <w:p>
      <w:r>
        <w:rPr>
          <w:rFonts w:ascii="Calibri" w:hAnsi="Calibri"/>
          <w:sz w:val="22"/>
        </w:rPr>
        <w:t>NUXERA organiza expedientes de financiamiento con evidencia, cumplimiento, riesgo y revision humana. No aprueba credito automaticamente. La plataforma separa pagina publica, solicitantes, otorgantes y administracion para evitar que captura, analisis y control se mezclen. El resultado esperado es un expediente defendible, trazable y listo para comite humano.</w:t>
      </w:r>
    </w:p>
    <w:p>
      <w:pPr>
        <w:pStyle w:val="Heading1"/>
      </w:pPr>
      <w:r>
        <w:t>2. Principios de operacion</w:t>
      </w:r>
    </w:p>
    <w:p>
      <w:pPr>
        <w:pStyle w:val="ListBullet"/>
      </w:pPr>
      <w:r>
        <w:rPr>
          <w:rFonts w:ascii="Calibri" w:hAnsi="Calibri"/>
          <w:sz w:val="22"/>
        </w:rPr>
        <w:t>La decision final siempre corresponde a humanos autorizados</w:t>
      </w:r>
    </w:p>
    <w:p>
      <w:pPr>
        <w:pStyle w:val="ListBullet"/>
      </w:pPr>
      <w:r>
        <w:rPr>
          <w:rFonts w:ascii="Calibri" w:hAnsi="Calibri"/>
          <w:sz w:val="22"/>
        </w:rPr>
        <w:t>Todo dato importante debe tener fuente, documento, usuario, fecha o evento</w:t>
      </w:r>
    </w:p>
    <w:p>
      <w:pPr>
        <w:pStyle w:val="ListBullet"/>
      </w:pPr>
      <w:r>
        <w:rPr>
          <w:rFonts w:ascii="Calibri" w:hAnsi="Calibri"/>
          <w:sz w:val="22"/>
        </w:rPr>
        <w:t>Los roles se separan por permisos y RLS</w:t>
      </w:r>
    </w:p>
    <w:p>
      <w:pPr>
        <w:pStyle w:val="ListBullet"/>
      </w:pPr>
      <w:r>
        <w:rPr>
          <w:rFonts w:ascii="Calibri" w:hAnsi="Calibri"/>
          <w:sz w:val="22"/>
        </w:rPr>
        <w:t>Los documentos sensibles no se adjuntan por correo por defecto</w:t>
      </w:r>
    </w:p>
    <w:p>
      <w:pPr>
        <w:pStyle w:val="ListBullet"/>
      </w:pPr>
      <w:r>
        <w:rPr>
          <w:rFonts w:ascii="Calibri" w:hAnsi="Calibri"/>
          <w:sz w:val="22"/>
        </w:rPr>
        <w:t>El agente solo usa contexto autorizado</w:t>
      </w:r>
    </w:p>
    <w:p>
      <w:pPr>
        <w:pStyle w:val="ListBullet"/>
      </w:pPr>
      <w:r>
        <w:rPr>
          <w:rFonts w:ascii="Calibri" w:hAnsi="Calibri"/>
          <w:sz w:val="22"/>
        </w:rPr>
        <w:t>Las fuentes externas muestran alcance y limitaciones</w:t>
      </w:r>
    </w:p>
    <w:p>
      <w:pPr>
        <w:pStyle w:val="ListBullet"/>
      </w:pPr>
      <w:r>
        <w:rPr>
          <w:rFonts w:ascii="Calibri" w:hAnsi="Calibri"/>
          <w:sz w:val="22"/>
        </w:rPr>
        <w:t>Demo e investor-ready no equivalen a produccion con datos reales</w:t>
      </w:r>
    </w:p>
    <w:p>
      <w:pPr>
        <w:pStyle w:val="Heading1"/>
      </w:pPr>
      <w:r>
        <w:t>3. Pagina publica</w:t>
      </w:r>
    </w:p>
    <w:p>
      <w:r>
        <w:rPr>
          <w:rFonts w:ascii="Calibri" w:hAnsi="Calibri"/>
          <w:sz w:val="22"/>
        </w:rPr>
        <w:t>La pagina publica presenta NUXERA al mercado. No carga documentos sensibles ni genera score; explica propuesta de valor, cobertura global, industrias, integraciones e implementacion.</w:t>
      </w:r>
    </w:p>
    <w:p>
      <w:pPr>
        <w:pStyle w:val="Heading3"/>
      </w:pPr>
      <w:r>
        <w:t>Como operar esta vista</w:t>
      </w:r>
    </w:p>
    <w:p>
      <w:r>
        <w:rPr>
          <w:rFonts w:ascii="Calibri" w:hAnsi="Calibri"/>
          <w:sz w:val="22"/>
        </w:rPr>
        <w:t>1. Abrir URL publica 2. Verificar marca NUXERA Financial Intelligence 3. Cambiar idioma ES/EN si aplica 4. Revisar Home, Platform, Global coverage, Industries, Integrations e Implementation 5. Entrar a Login o Sign Up solo cuando el usuario pasara a workspace</w:t>
      </w:r>
    </w:p>
    <w:p>
      <w:pPr>
        <w:pStyle w:val="Heading1"/>
      </w:pPr>
      <w:r>
        <w:t>4. Workspace de solicitantes</w:t>
      </w:r>
    </w:p>
    <w:p>
      <w:r>
        <w:rPr>
          <w:rFonts w:ascii="Calibri" w:hAnsi="Calibri"/>
          <w:sz w:val="22"/>
        </w:rPr>
        <w:t>El workspace de solicitantes prepara el expediente antes de compartirlo. Debe contestar que falta, que documentos subir, que riesgos estan abiertos y que sigue.</w:t>
      </w:r>
    </w:p>
    <w:p>
      <w:pPr>
        <w:pStyle w:val="Heading3"/>
      </w:pPr>
      <w:r>
        <w:t>Ingreso y primera lectura</w:t>
      </w:r>
    </w:p>
    <w:p>
      <w:r>
        <w:rPr>
          <w:rFonts w:ascii="Calibri" w:hAnsi="Calibri"/>
          <w:sz w:val="22"/>
        </w:rPr>
        <w:t>1. Iniciar sesion como solicitante 2. Abrir dashboard 3. Confirmar NUXERA / Applicant o Solicitante 4. Revisar readiness 5. Entrar a empresa, responsables, proyecto, documentos y seguimiento</w:t>
      </w:r>
    </w:p>
    <w:p>
      <w:pPr>
        <w:pStyle w:val="Heading3"/>
      </w:pPr>
      <w:r>
        <w:t>Empresa y responsables</w:t>
      </w:r>
    </w:p>
    <w:p>
      <w:r>
        <w:rPr>
          <w:rFonts w:ascii="Calibri" w:hAnsi="Calibri"/>
          <w:sz w:val="22"/>
        </w:rPr>
        <w:t>Captura nombre legal, pais, registro, domicilio, sector, representante, beneficiarios finales y contactos. Documentos tipicos:</w:t>
      </w:r>
    </w:p>
    <w:p>
      <w:pPr>
        <w:pStyle w:val="ListBullet"/>
      </w:pPr>
      <w:r>
        <w:rPr>
          <w:rFonts w:ascii="Calibri" w:hAnsi="Calibri"/>
          <w:sz w:val="22"/>
        </w:rPr>
        <w:t>Acta constitutiva o registro equivalente</w:t>
      </w:r>
    </w:p>
    <w:p>
      <w:pPr>
        <w:pStyle w:val="ListBullet"/>
      </w:pPr>
      <w:r>
        <w:rPr>
          <w:rFonts w:ascii="Calibri" w:hAnsi="Calibri"/>
          <w:sz w:val="22"/>
        </w:rPr>
        <w:t>Poderes y representante legal</w:t>
      </w:r>
    </w:p>
    <w:p>
      <w:pPr>
        <w:pStyle w:val="ListBullet"/>
      </w:pPr>
      <w:r>
        <w:rPr>
          <w:rFonts w:ascii="Calibri" w:hAnsi="Calibri"/>
          <w:sz w:val="22"/>
        </w:rPr>
        <w:t>Identificacion de responsables y beneficiarios finales</w:t>
      </w:r>
    </w:p>
    <w:p>
      <w:pPr>
        <w:pStyle w:val="ListBullet"/>
      </w:pPr>
      <w:r>
        <w:rPr>
          <w:rFonts w:ascii="Calibri" w:hAnsi="Calibri"/>
          <w:sz w:val="22"/>
        </w:rPr>
        <w:t>Comprobante fiscal o numero tributario</w:t>
      </w:r>
    </w:p>
    <w:p>
      <w:pPr>
        <w:pStyle w:val="ListBullet"/>
      </w:pPr>
      <w:r>
        <w:rPr>
          <w:rFonts w:ascii="Calibri" w:hAnsi="Calibri"/>
          <w:sz w:val="22"/>
        </w:rPr>
        <w:t>Registro mercantil o licencia comercial</w:t>
      </w:r>
    </w:p>
    <w:p>
      <w:pPr>
        <w:pStyle w:val="ListBullet"/>
      </w:pPr>
      <w:r>
        <w:rPr>
          <w:rFonts w:ascii="Calibri" w:hAnsi="Calibri"/>
          <w:sz w:val="22"/>
        </w:rPr>
        <w:t>Estructura accionaria</w:t>
      </w:r>
    </w:p>
    <w:p>
      <w:pPr>
        <w:pStyle w:val="ListBullet"/>
      </w:pPr>
      <w:r>
        <w:rPr>
          <w:rFonts w:ascii="Calibri" w:hAnsi="Calibri"/>
          <w:sz w:val="22"/>
        </w:rPr>
        <w:t>Estados financieros</w:t>
      </w:r>
    </w:p>
    <w:p>
      <w:r>
        <w:rPr>
          <w:rFonts w:ascii="Calibri" w:hAnsi="Calibri"/>
          <w:sz w:val="22"/>
        </w:rPr>
        <w:t>NUXERA clasifica, marca faltantes, alimenta checklist y prepara senales para otorgante.</w:t>
      </w:r>
    </w:p>
    <w:p>
      <w:pPr>
        <w:pStyle w:val="Heading3"/>
      </w:pPr>
      <w:r>
        <w:t>Proyecto y uso de fondos</w:t>
      </w:r>
    </w:p>
    <w:p>
      <w:r>
        <w:rPr>
          <w:rFonts w:ascii="Calibri" w:hAnsi="Calibri"/>
          <w:sz w:val="22"/>
        </w:rPr>
        <w:t>Captura ubicacion pais/estado/ciudad, sector, monto, moneda, uso de fondos, etapa, plazo, garantias, modelo, impacto y permisos. Documentos tipicos:</w:t>
      </w:r>
    </w:p>
    <w:p>
      <w:pPr>
        <w:pStyle w:val="ListBullet"/>
      </w:pPr>
      <w:r>
        <w:rPr>
          <w:rFonts w:ascii="Calibri" w:hAnsi="Calibri"/>
          <w:sz w:val="22"/>
        </w:rPr>
        <w:t>Modelo financiero</w:t>
      </w:r>
    </w:p>
    <w:p>
      <w:pPr>
        <w:pStyle w:val="ListBullet"/>
      </w:pPr>
      <w:r>
        <w:rPr>
          <w:rFonts w:ascii="Calibri" w:hAnsi="Calibri"/>
          <w:sz w:val="22"/>
        </w:rPr>
        <w:t>Presupuesto de inversion</w:t>
      </w:r>
    </w:p>
    <w:p>
      <w:pPr>
        <w:pStyle w:val="ListBullet"/>
      </w:pPr>
      <w:r>
        <w:rPr>
          <w:rFonts w:ascii="Calibri" w:hAnsi="Calibri"/>
          <w:sz w:val="22"/>
        </w:rPr>
        <w:t>Permisos y licencias</w:t>
      </w:r>
    </w:p>
    <w:p>
      <w:pPr>
        <w:pStyle w:val="ListBullet"/>
      </w:pPr>
      <w:r>
        <w:rPr>
          <w:rFonts w:ascii="Calibri" w:hAnsi="Calibri"/>
          <w:sz w:val="22"/>
        </w:rPr>
        <w:t>Contratos relevantes</w:t>
      </w:r>
    </w:p>
    <w:p>
      <w:pPr>
        <w:pStyle w:val="ListBullet"/>
      </w:pPr>
      <w:r>
        <w:rPr>
          <w:rFonts w:ascii="Calibri" w:hAnsi="Calibri"/>
          <w:sz w:val="22"/>
        </w:rPr>
        <w:t>Evidencia tecnica</w:t>
      </w:r>
    </w:p>
    <w:p>
      <w:pPr>
        <w:pStyle w:val="ListBullet"/>
      </w:pPr>
      <w:r>
        <w:rPr>
          <w:rFonts w:ascii="Calibri" w:hAnsi="Calibri"/>
          <w:sz w:val="22"/>
        </w:rPr>
        <w:t>Garantias</w:t>
      </w:r>
    </w:p>
    <w:p>
      <w:pPr>
        <w:pStyle w:val="ListBullet"/>
      </w:pPr>
      <w:r>
        <w:rPr>
          <w:rFonts w:ascii="Calibri" w:hAnsi="Calibri"/>
          <w:sz w:val="22"/>
        </w:rPr>
        <w:t>Informacion ESG o impacto</w:t>
      </w:r>
    </w:p>
    <w:p>
      <w:pPr>
        <w:pStyle w:val="Heading3"/>
      </w:pPr>
      <w:r>
        <w:t>Carga documental paso a paso</w:t>
      </w:r>
    </w:p>
    <w:p>
      <w:r>
        <w:rPr>
          <w:rFonts w:ascii="Calibri" w:hAnsi="Calibri"/>
          <w:sz w:val="22"/>
        </w:rPr>
        <w:t>1. Seleccionar requisito o categoria 2. Subir archivo 3. Asociar a requisito 4. Confirmar version, fecha y responsable 5. Esperar estado recibido/en revision/observado/aprobado 6. Atender observacion o cargar nueva version</w:t>
      </w:r>
    </w:p>
    <w:p>
      <w:r>
        <w:rPr>
          <w:rFonts w:ascii="Calibri" w:hAnsi="Calibri"/>
          <w:sz w:val="22"/>
        </w:rPr>
        <w:t>Categorias: identidad, corporativo, fiscal, financiero, legal, tecnico, proyecto, garantias, cumplimiento, regulatorio, impacto y evidencia complementaria.</w:t>
      </w:r>
    </w:p>
    <w:p>
      <w:pPr>
        <w:pStyle w:val="Heading3"/>
      </w:pPr>
      <w:r>
        <w:t>Score, seguimiento y agente</w:t>
      </w:r>
    </w:p>
    <w:p>
      <w:r>
        <w:rPr>
          <w:rFonts w:ascii="Calibri" w:hAnsi="Calibri"/>
          <w:sz w:val="22"/>
        </w:rPr>
        <w:t>Readiness mide preparacion, no aprobacion. El agente puede explicar faltantes y requisitos, pero no promete condiciones, no aprueba financiamiento, no inventa datos y no muestra informacion de otros usuarios.</w:t>
      </w:r>
    </w:p>
    <w:p>
      <w:pPr>
        <w:pStyle w:val="Heading1"/>
      </w:pPr>
      <w:r>
        <w:t>5. Workspace de otorgantes</w:t>
      </w:r>
    </w:p>
    <w:p>
      <w:r>
        <w:rPr>
          <w:rFonts w:ascii="Calibri" w:hAnsi="Calibri"/>
          <w:sz w:val="22"/>
        </w:rPr>
        <w:t>El workspace de otorgantes transforma expedientes autorizados en analisis, comite y seguimiento. No debe duplicar la pantalla de solicitante.</w:t>
      </w:r>
    </w:p>
    <w:p>
      <w:pPr>
        <w:pStyle w:val="Heading3"/>
      </w:pPr>
      <w:r>
        <w:t>Decision desk</w:t>
      </w:r>
    </w:p>
    <w:p>
      <w:r>
        <w:rPr>
          <w:rFonts w:ascii="Calibri" w:hAnsi="Calibri"/>
          <w:sz w:val="22"/>
        </w:rPr>
        <w:t>Prepara paquete de decision no vinculante: resumen, evidencia, riesgos, preguntas de comite, condiciones humanas, fuentes y limitaciones.</w:t>
      </w:r>
    </w:p>
    <w:p>
      <w:pPr>
        <w:pStyle w:val="Heading3"/>
      </w:pPr>
      <w:r>
        <w:t>Case management</w:t>
      </w:r>
    </w:p>
    <w:p>
      <w:r>
        <w:rPr>
          <w:rFonts w:ascii="Calibri" w:hAnsi="Calibri"/>
          <w:sz w:val="22"/>
        </w:rPr>
        <w:t>Mueve el caso: responsable, SLA, faltantes, solicitudes, expedientes detenidos e intervencion humana. Decision desk mira la decision; Case management mueve la operacion.</w:t>
      </w:r>
    </w:p>
    <w:p>
      <w:pPr>
        <w:pStyle w:val="Heading3"/>
      </w:pPr>
      <w:r>
        <w:t>Finance e intelligence</w:t>
      </w:r>
    </w:p>
    <w:p>
      <w:r>
        <w:rPr>
          <w:rFonts w:ascii="Calibri" w:hAnsi="Calibri"/>
          <w:sz w:val="22"/>
        </w:rPr>
        <w:t>Finance revisa monto, moneda, uso de fondos, repago, garantias, modelo y sensibilidad. Intelligence revisa empresa, representantes, beneficiarios, sanciones, reputacion, fuentes abiertas y hallazgos trazados.</w:t>
      </w:r>
    </w:p>
    <w:p>
      <w:pPr>
        <w:pStyle w:val="Heading3"/>
      </w:pPr>
      <w:r>
        <w:t>Pais, ciudad y contexto</w:t>
      </w:r>
    </w:p>
    <w:p>
      <w:r>
        <w:rPr>
          <w:rFonts w:ascii="Calibri" w:hAnsi="Calibri"/>
          <w:sz w:val="22"/>
        </w:rPr>
        <w:t>Debe analizar dimensiones economico, politico, social, regulatorio, territorial. El flujo es: ubicacion capturada por solicitante, fuente publica/API, separacion de datos confirmados y pendientes, resumen para otorgante con fecha, fuente, alcance y limitacion.</w:t>
      </w:r>
    </w:p>
    <w:p>
      <w:pPr>
        <w:pStyle w:val="Heading3"/>
      </w:pPr>
      <w:r>
        <w:t>Medio Oriente y EAU</w:t>
      </w:r>
    </w:p>
    <w:p>
      <w:r>
        <w:rPr>
          <w:rFonts w:ascii="Calibri" w:hAnsi="Calibri"/>
          <w:sz w:val="22"/>
        </w:rPr>
        <w:t>Fuentes consideradas:</w:t>
      </w:r>
    </w:p>
    <w:p>
      <w:pPr>
        <w:pStyle w:val="ListBullet"/>
      </w:pPr>
      <w:r>
        <w:rPr>
          <w:rFonts w:ascii="Calibri" w:hAnsi="Calibri"/>
          <w:sz w:val="22"/>
        </w:rPr>
        <w:t>UAE PASS</w:t>
      </w:r>
    </w:p>
    <w:p>
      <w:pPr>
        <w:pStyle w:val="ListBullet"/>
      </w:pPr>
      <w:r>
        <w:rPr>
          <w:rFonts w:ascii="Calibri" w:hAnsi="Calibri"/>
          <w:sz w:val="22"/>
        </w:rPr>
        <w:t>EOCN</w:t>
      </w:r>
    </w:p>
    <w:p>
      <w:pPr>
        <w:pStyle w:val="ListBullet"/>
      </w:pPr>
      <w:r>
        <w:rPr>
          <w:rFonts w:ascii="Calibri" w:hAnsi="Calibri"/>
          <w:sz w:val="22"/>
        </w:rPr>
        <w:t>SCA/CMA</w:t>
      </w:r>
    </w:p>
    <w:p>
      <w:pPr>
        <w:pStyle w:val="ListBullet"/>
      </w:pPr>
      <w:r>
        <w:rPr>
          <w:rFonts w:ascii="Calibri" w:hAnsi="Calibri"/>
          <w:sz w:val="22"/>
        </w:rPr>
        <w:t>CBUAE</w:t>
      </w:r>
    </w:p>
    <w:p>
      <w:pPr>
        <w:pStyle w:val="ListBullet"/>
      </w:pPr>
      <w:r>
        <w:rPr>
          <w:rFonts w:ascii="Calibri" w:hAnsi="Calibri"/>
          <w:sz w:val="22"/>
        </w:rPr>
        <w:t>DFSA</w:t>
      </w:r>
    </w:p>
    <w:p>
      <w:pPr>
        <w:pStyle w:val="ListBullet"/>
      </w:pPr>
      <w:r>
        <w:rPr>
          <w:rFonts w:ascii="Calibri" w:hAnsi="Calibri"/>
          <w:sz w:val="22"/>
        </w:rPr>
        <w:t>FSRA/ADGM</w:t>
      </w:r>
    </w:p>
    <w:p>
      <w:pPr>
        <w:pStyle w:val="ListBullet"/>
      </w:pPr>
      <w:r>
        <w:rPr>
          <w:rFonts w:ascii="Calibri" w:hAnsi="Calibri"/>
          <w:sz w:val="22"/>
        </w:rPr>
        <w:t>ADGM Registration Authority</w:t>
      </w:r>
    </w:p>
    <w:p>
      <w:pPr>
        <w:pStyle w:val="ListBullet"/>
      </w:pPr>
      <w:r>
        <w:rPr>
          <w:rFonts w:ascii="Calibri" w:hAnsi="Calibri"/>
          <w:sz w:val="22"/>
        </w:rPr>
        <w:t>VARA</w:t>
      </w:r>
    </w:p>
    <w:p>
      <w:pPr>
        <w:pStyle w:val="ListBullet"/>
      </w:pPr>
      <w:r>
        <w:rPr>
          <w:rFonts w:ascii="Calibri" w:hAnsi="Calibri"/>
          <w:sz w:val="22"/>
        </w:rPr>
        <w:t>FTA</w:t>
      </w:r>
    </w:p>
    <w:p>
      <w:pPr>
        <w:pStyle w:val="ListBullet"/>
      </w:pPr>
      <w:r>
        <w:rPr>
          <w:rFonts w:ascii="Calibri" w:hAnsi="Calibri"/>
          <w:sz w:val="22"/>
        </w:rPr>
        <w:t>National Economic Registry</w:t>
      </w:r>
    </w:p>
    <w:p>
      <w:pPr>
        <w:pStyle w:val="ListBullet"/>
      </w:pPr>
      <w:r>
        <w:rPr>
          <w:rFonts w:ascii="Calibri" w:hAnsi="Calibri"/>
          <w:sz w:val="22"/>
        </w:rPr>
        <w:t>DET/DED Dubai</w:t>
      </w:r>
    </w:p>
    <w:p>
      <w:pPr>
        <w:pStyle w:val="ListBullet"/>
      </w:pPr>
      <w:r>
        <w:rPr>
          <w:rFonts w:ascii="Calibri" w:hAnsi="Calibri"/>
          <w:sz w:val="22"/>
        </w:rPr>
        <w:t>ADDED Abu Dhabi</w:t>
      </w:r>
    </w:p>
    <w:p>
      <w:pPr>
        <w:pStyle w:val="ListBullet"/>
      </w:pPr>
      <w:r>
        <w:rPr>
          <w:rFonts w:ascii="Calibri" w:hAnsi="Calibri"/>
          <w:sz w:val="22"/>
        </w:rPr>
        <w:t>registros economicos locales</w:t>
      </w:r>
    </w:p>
    <w:p>
      <w:r>
        <w:rPr>
          <w:rFonts w:ascii="Calibri" w:hAnsi="Calibri"/>
          <w:sz w:val="22"/>
        </w:rPr>
        <w:t>En solicitante alimentan checklist y score sin saturar. En otorgante se muestran explicitamente con alcance, estatus, tipo de acceso, limitacion y siguiente accion.</w:t>
      </w:r>
    </w:p>
    <w:p>
      <w:pPr>
        <w:pStyle w:val="Heading3"/>
      </w:pPr>
      <w:r>
        <w:t>Agente para otorgante</w:t>
      </w:r>
    </w:p>
    <w:p>
      <w:r>
        <w:rPr>
          <w:rFonts w:ascii="Calibri" w:hAnsi="Calibri"/>
          <w:sz w:val="22"/>
        </w:rPr>
        <w:t>Puede resumir, preparar preguntas de comite, explicar faltantes, comparar evidencia, redactar solicitudes y memo no vinculante. No puede aprobar, emitir term sheet vinculante, ignorar faltantes, consultar sin permisos ni enviar correos sin gate.</w:t>
      </w:r>
    </w:p>
    <w:p>
      <w:pPr>
        <w:pStyle w:val="Heading1"/>
      </w:pPr>
      <w:r>
        <w:t>6. Administracion</w:t>
      </w:r>
    </w:p>
    <w:p>
      <w:r>
        <w:rPr>
          <w:rFonts w:ascii="Calibri" w:hAnsi="Calibri"/>
          <w:sz w:val="22"/>
        </w:rPr>
        <w:t>Admin controla usuarios, permisos, fuentes, agentes, notificaciones, seguridad, RLS, persistencia y cutover.</w:t>
      </w:r>
    </w:p>
    <w:p>
      <w:pPr>
        <w:pStyle w:val="Heading3"/>
      </w:pPr>
      <w:r>
        <w:t>Ingreso y modulos</w:t>
      </w:r>
    </w:p>
    <w:p>
      <w:r>
        <w:rPr>
          <w:rFonts w:ascii="Calibri" w:hAnsi="Calibri"/>
          <w:sz w:val="22"/>
        </w:rPr>
        <w:t>1. Iniciar sesion admin 2. Revisar Operations 3. Revisar Security/RLS 4. Revisar AI &amp; agents 5. Revisar System/deploys/gates 6. Revisar fuentes regulatorias</w:t>
      </w:r>
    </w:p>
    <w:p>
      <w:pPr>
        <w:pStyle w:val="Heading3"/>
      </w:pPr>
      <w:r>
        <w:t>Usuarios y permisos</w:t>
      </w:r>
    </w:p>
    <w:p>
      <w:pPr>
        <w:pStyle w:val="ListBullet"/>
      </w:pPr>
      <w:r>
        <w:rPr>
          <w:rFonts w:ascii="Calibri" w:hAnsi="Calibri"/>
          <w:sz w:val="22"/>
        </w:rPr>
        <w:t>Alta/baja de usuarios</w:t>
      </w:r>
    </w:p>
    <w:p>
      <w:pPr>
        <w:pStyle w:val="ListBullet"/>
      </w:pPr>
      <w:r>
        <w:rPr>
          <w:rFonts w:ascii="Calibri" w:hAnsi="Calibri"/>
          <w:sz w:val="22"/>
        </w:rPr>
        <w:t>Roles solicitante/otorgante/admin</w:t>
      </w:r>
    </w:p>
    <w:p>
      <w:pPr>
        <w:pStyle w:val="ListBullet"/>
      </w:pPr>
      <w:r>
        <w:rPr>
          <w:rFonts w:ascii="Calibri" w:hAnsi="Calibri"/>
          <w:sz w:val="22"/>
        </w:rPr>
        <w:t>Data rooms autorizados</w:t>
      </w:r>
    </w:p>
    <w:p>
      <w:pPr>
        <w:pStyle w:val="ListBullet"/>
      </w:pPr>
      <w:r>
        <w:rPr>
          <w:rFonts w:ascii="Calibri" w:hAnsi="Calibri"/>
          <w:sz w:val="22"/>
        </w:rPr>
        <w:t>Separacion demo vs produccion</w:t>
      </w:r>
    </w:p>
    <w:p>
      <w:pPr>
        <w:pStyle w:val="ListBullet"/>
      </w:pPr>
      <w:r>
        <w:rPr>
          <w:rFonts w:ascii="Calibri" w:hAnsi="Calibri"/>
          <w:sz w:val="22"/>
        </w:rPr>
        <w:t>Revision de accesos antes de compartir evidencia</w:t>
      </w:r>
    </w:p>
    <w:p>
      <w:pPr>
        <w:pStyle w:val="Heading3"/>
      </w:pPr>
      <w:r>
        <w:t>Catalogo de fuentes</w:t>
      </w:r>
    </w:p>
    <w:p>
      <w:pPr>
        <w:pStyle w:val="ListBullet"/>
      </w:pPr>
      <w:r>
        <w:rPr>
          <w:rFonts w:ascii="Calibri" w:hAnsi="Calibri"/>
          <w:sz w:val="22"/>
        </w:rPr>
        <w:t>Nombre, pais, jurisdiccion y tipo de dato</w:t>
      </w:r>
    </w:p>
    <w:p>
      <w:pPr>
        <w:pStyle w:val="ListBullet"/>
      </w:pPr>
      <w:r>
        <w:rPr>
          <w:rFonts w:ascii="Calibri" w:hAnsi="Calibri"/>
          <w:sz w:val="22"/>
        </w:rPr>
        <w:t>Modo de acceso: publico, descarga, API, convenio o no disponible</w:t>
      </w:r>
    </w:p>
    <w:p>
      <w:pPr>
        <w:pStyle w:val="ListBullet"/>
      </w:pPr>
      <w:r>
        <w:rPr>
          <w:rFonts w:ascii="Calibri" w:hAnsi="Calibri"/>
          <w:sz w:val="22"/>
        </w:rPr>
        <w:t>Estatus live, condicional, privado, pendiente o bloqueado</w:t>
      </w:r>
    </w:p>
    <w:p>
      <w:pPr>
        <w:pStyle w:val="ListBullet"/>
      </w:pPr>
      <w:r>
        <w:rPr>
          <w:rFonts w:ascii="Calibri" w:hAnsi="Calibri"/>
          <w:sz w:val="22"/>
        </w:rPr>
        <w:t>Fecha de ultima revision y responsable</w:t>
      </w:r>
    </w:p>
    <w:p>
      <w:pPr>
        <w:pStyle w:val="ListBullet"/>
      </w:pPr>
      <w:r>
        <w:rPr>
          <w:rFonts w:ascii="Calibri" w:hAnsi="Calibri"/>
          <w:sz w:val="22"/>
        </w:rPr>
        <w:t>Limitaciones para no exagerar cobertura</w:t>
      </w:r>
    </w:p>
    <w:p>
      <w:pPr>
        <w:pStyle w:val="ListBullet"/>
      </w:pPr>
      <w:r>
        <w:rPr>
          <w:rFonts w:ascii="Calibri" w:hAnsi="Calibri"/>
          <w:sz w:val="22"/>
        </w:rPr>
        <w:t>Siguiente accion para integracion real</w:t>
      </w:r>
    </w:p>
    <w:p>
      <w:pPr>
        <w:pStyle w:val="Heading3"/>
      </w:pPr>
      <w:r>
        <w:t>Notificaciones</w:t>
      </w:r>
    </w:p>
    <w:p>
      <w:r>
        <w:rPr>
          <w:rFonts w:ascii="Calibri" w:hAnsi="Calibri"/>
          <w:sz w:val="22"/>
        </w:rPr>
        <w:t>Eventos: bienvenida, expediente creado, documento faltante, documento recibido, observacion, aclaracion, estatus, nuevo expediente autorizado, evidencia nueva, SLA, revision humana, memo listo y riesgo critico. Fases: dry-run, sandbox, produccion limitada y produccion completa.</w:t>
      </w:r>
    </w:p>
    <w:p>
      <w:pPr>
        <w:pStyle w:val="Heading3"/>
      </w:pPr>
      <w:r>
        <w:t>Agentes e IA</w:t>
      </w:r>
    </w:p>
    <w:p>
      <w:r>
        <w:rPr>
          <w:rFonts w:ascii="Calibri" w:hAnsi="Calibri"/>
          <w:sz w:val="22"/>
        </w:rPr>
        <w:t>OpenAI y Anthropic son principales; Kimi bajo costo/bajo riesgo; DeepSeek detras de principales y bajo riesgo; NVIDIA experimental. Admin ve proveedor, tareas permitidas, riesgo maximo, logs, runtime y fallas.</w:t>
      </w:r>
    </w:p>
    <w:p>
      <w:pPr>
        <w:pStyle w:val="Heading3"/>
      </w:pPr>
      <w:r>
        <w:t>Persistencia y cutover</w:t>
      </w:r>
    </w:p>
    <w:p>
      <w:r>
        <w:rPr>
          <w:rFonts w:ascii="Calibri" w:hAnsi="Calibri"/>
          <w:sz w:val="22"/>
        </w:rPr>
        <w:t>Antes de produccion: eventos, aprobaciones, procedencia documental, RLS, tokens staging, logs y rollback. Cutover: inventario Nexus, QA, redireccion, monitoreo y plan de regreso.</w:t>
      </w:r>
    </w:p>
    <w:p>
      <w:pPr>
        <w:pStyle w:val="Heading1"/>
      </w:pPr>
      <w:r>
        <w:t>7. Ciclo completo</w:t>
      </w:r>
    </w:p>
    <w:p>
      <w:r>
        <w:rPr>
          <w:rFonts w:ascii="Calibri" w:hAnsi="Calibri"/>
          <w:sz w:val="22"/>
        </w:rPr>
        <w:t>1. Solicitante crea expediente 2. Carga datos y documentos 3. NUXERA calcula readiness 4. Admin controla fuentes y gates 5. Otorgante accede si esta autorizado 6. Otorgante revisa evidencia y riesgos 7. Agente apoya bajo limites 8. Notificaciones mueven solicitudes 9. Persistencia registra eventos 10. Decision humana se documenta</w:t>
      </w:r>
    </w:p>
    <w:p>
      <w:pPr>
        <w:pStyle w:val="Heading1"/>
      </w:pPr>
      <w:r>
        <w:t>8. Matriz ampliada de documentos</w:t>
      </w:r>
    </w:p>
    <w:p>
      <w:r>
        <w:rPr>
          <w:rFonts w:ascii="Calibri" w:hAnsi="Calibri"/>
          <w:sz w:val="22"/>
        </w:rPr>
        <w:t>La operacion documental debe permitir que cada archivo tenga categoria, requisito asociado, version, fecha, responsable, estado y observacion. La plataforma debe evitar que un documento quede como archivo suelto sin relacion operativa.</w:t>
      </w:r>
    </w:p>
    <w:p>
      <w:r>
        <w:rPr>
          <w:rFonts w:ascii="Calibri" w:hAnsi="Calibri"/>
          <w:sz w:val="22"/>
        </w:rPr>
        <w:t>Categorias:</w:t>
      </w:r>
    </w:p>
    <w:p>
      <w:pPr>
        <w:pStyle w:val="ListBullet"/>
      </w:pPr>
      <w:r>
        <w:rPr>
          <w:rFonts w:ascii="Calibri" w:hAnsi="Calibri"/>
          <w:sz w:val="22"/>
        </w:rPr>
        <w:t>Identidad</w:t>
      </w:r>
    </w:p>
    <w:p>
      <w:pPr>
        <w:pStyle w:val="ListBullet"/>
      </w:pPr>
      <w:r>
        <w:rPr>
          <w:rFonts w:ascii="Calibri" w:hAnsi="Calibri"/>
          <w:sz w:val="22"/>
        </w:rPr>
        <w:t>Corporativo</w:t>
      </w:r>
    </w:p>
    <w:p>
      <w:pPr>
        <w:pStyle w:val="ListBullet"/>
      </w:pPr>
      <w:r>
        <w:rPr>
          <w:rFonts w:ascii="Calibri" w:hAnsi="Calibri"/>
          <w:sz w:val="22"/>
        </w:rPr>
        <w:t>Fiscal</w:t>
      </w:r>
    </w:p>
    <w:p>
      <w:pPr>
        <w:pStyle w:val="ListBullet"/>
      </w:pPr>
      <w:r>
        <w:rPr>
          <w:rFonts w:ascii="Calibri" w:hAnsi="Calibri"/>
          <w:sz w:val="22"/>
        </w:rPr>
        <w:t>Financiero</w:t>
      </w:r>
    </w:p>
    <w:p>
      <w:pPr>
        <w:pStyle w:val="ListBullet"/>
      </w:pPr>
      <w:r>
        <w:rPr>
          <w:rFonts w:ascii="Calibri" w:hAnsi="Calibri"/>
          <w:sz w:val="22"/>
        </w:rPr>
        <w:t>Legal</w:t>
      </w:r>
    </w:p>
    <w:p>
      <w:pPr>
        <w:pStyle w:val="ListBullet"/>
      </w:pPr>
      <w:r>
        <w:rPr>
          <w:rFonts w:ascii="Calibri" w:hAnsi="Calibri"/>
          <w:sz w:val="22"/>
        </w:rPr>
        <w:t>Tecnico</w:t>
      </w:r>
    </w:p>
    <w:p>
      <w:pPr>
        <w:pStyle w:val="ListBullet"/>
      </w:pPr>
      <w:r>
        <w:rPr>
          <w:rFonts w:ascii="Calibri" w:hAnsi="Calibri"/>
          <w:sz w:val="22"/>
        </w:rPr>
        <w:t>Proyecto</w:t>
      </w:r>
    </w:p>
    <w:p>
      <w:pPr>
        <w:pStyle w:val="ListBullet"/>
      </w:pPr>
      <w:r>
        <w:rPr>
          <w:rFonts w:ascii="Calibri" w:hAnsi="Calibri"/>
          <w:sz w:val="22"/>
        </w:rPr>
        <w:t>Garantias</w:t>
      </w:r>
    </w:p>
    <w:p>
      <w:pPr>
        <w:pStyle w:val="ListBullet"/>
      </w:pPr>
      <w:r>
        <w:rPr>
          <w:rFonts w:ascii="Calibri" w:hAnsi="Calibri"/>
          <w:sz w:val="22"/>
        </w:rPr>
        <w:t>Cumplimiento</w:t>
      </w:r>
    </w:p>
    <w:p>
      <w:pPr>
        <w:pStyle w:val="ListBullet"/>
      </w:pPr>
      <w:r>
        <w:rPr>
          <w:rFonts w:ascii="Calibri" w:hAnsi="Calibri"/>
          <w:sz w:val="22"/>
        </w:rPr>
        <w:t>Regulatorio</w:t>
      </w:r>
    </w:p>
    <w:p>
      <w:pPr>
        <w:pStyle w:val="ListBullet"/>
      </w:pPr>
      <w:r>
        <w:rPr>
          <w:rFonts w:ascii="Calibri" w:hAnsi="Calibri"/>
          <w:sz w:val="22"/>
        </w:rPr>
        <w:t>Impacto ESG</w:t>
      </w:r>
    </w:p>
    <w:p>
      <w:pPr>
        <w:pStyle w:val="ListBullet"/>
      </w:pPr>
      <w:r>
        <w:rPr>
          <w:rFonts w:ascii="Calibri" w:hAnsi="Calibri"/>
          <w:sz w:val="22"/>
        </w:rPr>
        <w:t>Evidencia complementaria</w:t>
      </w:r>
    </w:p>
    <w:p>
      <w:r>
        <w:rPr>
          <w:rFonts w:ascii="Calibri" w:hAnsi="Calibri"/>
          <w:sz w:val="22"/>
        </w:rPr>
        <w:t>Estados posibles:</w:t>
      </w:r>
    </w:p>
    <w:p>
      <w:pPr>
        <w:pStyle w:val="ListBullet"/>
      </w:pPr>
      <w:r>
        <w:rPr>
          <w:rFonts w:ascii="Calibri" w:hAnsi="Calibri"/>
          <w:sz w:val="22"/>
        </w:rPr>
        <w:t>borrador</w:t>
      </w:r>
    </w:p>
    <w:p>
      <w:pPr>
        <w:pStyle w:val="ListBullet"/>
      </w:pPr>
      <w:r>
        <w:rPr>
          <w:rFonts w:ascii="Calibri" w:hAnsi="Calibri"/>
          <w:sz w:val="22"/>
        </w:rPr>
        <w:t>recibido</w:t>
      </w:r>
    </w:p>
    <w:p>
      <w:pPr>
        <w:pStyle w:val="ListBullet"/>
      </w:pPr>
      <w:r>
        <w:rPr>
          <w:rFonts w:ascii="Calibri" w:hAnsi="Calibri"/>
          <w:sz w:val="22"/>
        </w:rPr>
        <w:t>en revision</w:t>
      </w:r>
    </w:p>
    <w:p>
      <w:pPr>
        <w:pStyle w:val="ListBullet"/>
      </w:pPr>
      <w:r>
        <w:rPr>
          <w:rFonts w:ascii="Calibri" w:hAnsi="Calibri"/>
          <w:sz w:val="22"/>
        </w:rPr>
        <w:t>observado</w:t>
      </w:r>
    </w:p>
    <w:p>
      <w:pPr>
        <w:pStyle w:val="ListBullet"/>
      </w:pPr>
      <w:r>
        <w:rPr>
          <w:rFonts w:ascii="Calibri" w:hAnsi="Calibri"/>
          <w:sz w:val="22"/>
        </w:rPr>
        <w:t>requiere aclaracion</w:t>
      </w:r>
    </w:p>
    <w:p>
      <w:pPr>
        <w:pStyle w:val="ListBullet"/>
      </w:pPr>
      <w:r>
        <w:rPr>
          <w:rFonts w:ascii="Calibri" w:hAnsi="Calibri"/>
          <w:sz w:val="22"/>
        </w:rPr>
        <w:t>aprobado por revision humana</w:t>
      </w:r>
    </w:p>
    <w:p>
      <w:pPr>
        <w:pStyle w:val="ListBullet"/>
      </w:pPr>
      <w:r>
        <w:rPr>
          <w:rFonts w:ascii="Calibri" w:hAnsi="Calibri"/>
          <w:sz w:val="22"/>
        </w:rPr>
        <w:t>bloqueado</w:t>
      </w:r>
    </w:p>
    <w:p>
      <w:pPr>
        <w:pStyle w:val="ListBullet"/>
      </w:pPr>
      <w:r>
        <w:rPr>
          <w:rFonts w:ascii="Calibri" w:hAnsi="Calibri"/>
          <w:sz w:val="22"/>
        </w:rPr>
        <w:t>reemplazado por nueva version</w:t>
      </w:r>
    </w:p>
    <w:p>
      <w:pPr>
        <w:pStyle w:val="Heading3"/>
      </w:pPr>
      <w:r>
        <w:t>Documento - Identidad</w:t>
      </w:r>
    </w:p>
    <w:p>
      <w:r>
        <w:rPr>
          <w:rFonts w:ascii="Calibri" w:hAnsi="Calibri"/>
          <w:sz w:val="22"/>
        </w:rPr>
        <w:t>Funcion: acreditar informacion de tipo identidad.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Corporativo</w:t>
      </w:r>
    </w:p>
    <w:p>
      <w:r>
        <w:rPr>
          <w:rFonts w:ascii="Calibri" w:hAnsi="Calibri"/>
          <w:sz w:val="22"/>
        </w:rPr>
        <w:t>Funcion: acreditar informacion de tipo corporativo.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Fiscal</w:t>
      </w:r>
    </w:p>
    <w:p>
      <w:r>
        <w:rPr>
          <w:rFonts w:ascii="Calibri" w:hAnsi="Calibri"/>
          <w:sz w:val="22"/>
        </w:rPr>
        <w:t>Funcion: acreditar informacion de tipo fiscal.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Financiero</w:t>
      </w:r>
    </w:p>
    <w:p>
      <w:r>
        <w:rPr>
          <w:rFonts w:ascii="Calibri" w:hAnsi="Calibri"/>
          <w:sz w:val="22"/>
        </w:rPr>
        <w:t>Funcion: acreditar informacion de tipo financiero.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Legal</w:t>
      </w:r>
    </w:p>
    <w:p>
      <w:r>
        <w:rPr>
          <w:rFonts w:ascii="Calibri" w:hAnsi="Calibri"/>
          <w:sz w:val="22"/>
        </w:rPr>
        <w:t>Funcion: acreditar informacion de tipo legal.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Tecnico</w:t>
      </w:r>
    </w:p>
    <w:p>
      <w:r>
        <w:rPr>
          <w:rFonts w:ascii="Calibri" w:hAnsi="Calibri"/>
          <w:sz w:val="22"/>
        </w:rPr>
        <w:t>Funcion: acreditar informacion de tipo tecnico.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Proyecto</w:t>
      </w:r>
    </w:p>
    <w:p>
      <w:r>
        <w:rPr>
          <w:rFonts w:ascii="Calibri" w:hAnsi="Calibri"/>
          <w:sz w:val="22"/>
        </w:rPr>
        <w:t>Funcion: acreditar informacion de tipo proyecto.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Garantias</w:t>
      </w:r>
    </w:p>
    <w:p>
      <w:r>
        <w:rPr>
          <w:rFonts w:ascii="Calibri" w:hAnsi="Calibri"/>
          <w:sz w:val="22"/>
        </w:rPr>
        <w:t>Funcion: acreditar informacion de tipo garantias.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Cumplimiento</w:t>
      </w:r>
    </w:p>
    <w:p>
      <w:r>
        <w:rPr>
          <w:rFonts w:ascii="Calibri" w:hAnsi="Calibri"/>
          <w:sz w:val="22"/>
        </w:rPr>
        <w:t>Funcion: acreditar informacion de tipo cumplimiento.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Regulatorio</w:t>
      </w:r>
    </w:p>
    <w:p>
      <w:r>
        <w:rPr>
          <w:rFonts w:ascii="Calibri" w:hAnsi="Calibri"/>
          <w:sz w:val="22"/>
        </w:rPr>
        <w:t>Funcion: acreditar informacion de tipo regulatorio.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Impacto ESG</w:t>
      </w:r>
    </w:p>
    <w:p>
      <w:r>
        <w:rPr>
          <w:rFonts w:ascii="Calibri" w:hAnsi="Calibri"/>
          <w:sz w:val="22"/>
        </w:rPr>
        <w:t>Funcion: acreditar informacion de tipo impacto esg.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3"/>
      </w:pPr>
      <w:r>
        <w:t>Documento - Evidencia complementaria</w:t>
      </w:r>
    </w:p>
    <w:p>
      <w:r>
        <w:rPr>
          <w:rFonts w:ascii="Calibri" w:hAnsi="Calibri"/>
          <w:sz w:val="22"/>
        </w:rPr>
        <w:t>Funcion: acreditar informacion de tipo evidencia complementaria. Paso a paso: 1. identificar requisito 2. subir archivo 3. asociar categoria 4. validar metadata 5. revisar completitud 6. marcar resultado 7. notificar faltante si aplica</w:t>
      </w:r>
    </w:p>
    <w:p>
      <w:r>
        <w:rPr>
          <w:rFonts w:ascii="Calibri" w:hAnsi="Calibri"/>
          <w:sz w:val="22"/>
        </w:rPr>
        <w:t>Resultado esperado: el expediente muestra si esta evidencia esta completa, observada o bloqueada.</w:t>
      </w:r>
    </w:p>
    <w:p>
      <w:pPr>
        <w:pStyle w:val="Heading1"/>
      </w:pPr>
      <w:r>
        <w:t>9. Flujos operativos por rol</w:t>
      </w:r>
    </w:p>
    <w:p>
      <w:r>
        <w:rPr>
          <w:rFonts w:ascii="Calibri" w:hAnsi="Calibri"/>
          <w:sz w:val="22"/>
        </w:rPr>
        <w:t>Cada rol opera una parte distinta del ciclo. El valor de NUXERA esta en que estos ciclos se conectan sin mezclar permisos.</w:t>
      </w:r>
    </w:p>
    <w:p>
      <w:pPr>
        <w:pStyle w:val="Heading3"/>
      </w:pPr>
      <w:r>
        <w:t>Flujo de solicitante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solicitante opere fuera de su alcance o vea datos que no corresponden.</w:t>
      </w:r>
    </w:p>
    <w:p>
      <w:pPr>
        <w:pStyle w:val="Heading3"/>
      </w:pPr>
      <w:r>
        <w:t>Flujo de otorgante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otorgante opere fuera de su alcance o vea datos que no corresponden.</w:t>
      </w:r>
    </w:p>
    <w:p>
      <w:pPr>
        <w:pStyle w:val="Heading3"/>
      </w:pPr>
      <w:r>
        <w:t>Flujo de administrador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administrador opere fuera de su alcance o vea datos que no corresponden.</w:t>
      </w:r>
    </w:p>
    <w:p>
      <w:pPr>
        <w:pStyle w:val="Heading3"/>
      </w:pPr>
      <w:r>
        <w:t>Flujo de agente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agente opere fuera de su alcance o vea datos que no corresponden.</w:t>
      </w:r>
    </w:p>
    <w:p>
      <w:pPr>
        <w:pStyle w:val="Heading3"/>
      </w:pPr>
      <w:r>
        <w:t>Flujo de servicio de notificaciones</w:t>
      </w:r>
    </w:p>
    <w:p>
      <w:r>
        <w:rPr>
          <w:rFonts w:ascii="Calibri" w:hAnsi="Calibri"/>
          <w:sz w:val="22"/>
        </w:rPr>
        <w:t>1. entra con rol correcto 2. consulta solo informacion permitida 3. ejecuta accion propia del rol 4. genera evento trazable 5. recibe o dispara notificacion si aplica 6. deja evidencia para auditoria</w:t>
      </w:r>
    </w:p>
    <w:p>
      <w:r>
        <w:rPr>
          <w:rFonts w:ascii="Calibri" w:hAnsi="Calibri"/>
          <w:sz w:val="22"/>
        </w:rPr>
        <w:t>Riesgo a evitar: que servicio de notificaciones opere fuera de su alcance o vea datos que no corresponden.</w:t>
      </w:r>
    </w:p>
    <w:p>
      <w:pPr>
        <w:pStyle w:val="Heading1"/>
      </w:pPr>
      <w:r>
        <w:t>10. Escenarios practicos de uso</w:t>
      </w:r>
    </w:p>
    <w:p>
      <w:r>
        <w:rPr>
          <w:rFonts w:ascii="Calibri" w:hAnsi="Calibri"/>
          <w:sz w:val="22"/>
        </w:rPr>
        <w:t>Escenario 1: solicitante incompleto. La plataforma debe mostrar brechas, documentos faltantes y acciones. Escenario 2: expediente listo con observaciones. Debe permitir revision humana. Escenario 3: otorgante detecta riesgo jurisdiccional. Debe pedir evidencia y preparar pregunta de comite. Escenario 4: admin detecta fuente condicional. Debe marcar limitacion y evitar presentarla como live. Escenario 5: agente no tiene contexto. Debe decir que no cuenta con evidencia suficiente.</w:t>
      </w:r>
    </w:p>
    <w:p>
      <w:pPr>
        <w:pStyle w:val="Heading1"/>
      </w:pPr>
      <w:r>
        <w:t>11. Errores frecuentes y manejo esperado</w:t>
      </w:r>
    </w:p>
    <w:p>
      <w:pPr>
        <w:pStyle w:val="ListBullet"/>
      </w:pPr>
      <w:r>
        <w:rPr>
          <w:rFonts w:ascii="Calibri" w:hAnsi="Calibri"/>
          <w:sz w:val="22"/>
        </w:rPr>
        <w:t>Documento subido en categoria incorrecta: marcar observacion y pedir reclasificacion</w:t>
      </w:r>
    </w:p>
    <w:p>
      <w:pPr>
        <w:pStyle w:val="ListBullet"/>
      </w:pPr>
      <w:r>
        <w:rPr>
          <w:rFonts w:ascii="Calibri" w:hAnsi="Calibri"/>
          <w:sz w:val="22"/>
        </w:rPr>
        <w:t>Modelo financiero desactualizado: pedir nueva version</w:t>
      </w:r>
    </w:p>
    <w:p>
      <w:pPr>
        <w:pStyle w:val="ListBullet"/>
      </w:pPr>
      <w:r>
        <w:rPr>
          <w:rFonts w:ascii="Calibri" w:hAnsi="Calibri"/>
          <w:sz w:val="22"/>
        </w:rPr>
        <w:t>Ubicacion incompleta: bloquear analisis jurisdiccional profundo</w:t>
      </w:r>
    </w:p>
    <w:p>
      <w:pPr>
        <w:pStyle w:val="ListBullet"/>
      </w:pPr>
      <w:r>
        <w:rPr>
          <w:rFonts w:ascii="Calibri" w:hAnsi="Calibri"/>
          <w:sz w:val="22"/>
        </w:rPr>
        <w:t>Beneficiario final no identificado: marcar riesgo critico</w:t>
      </w:r>
    </w:p>
    <w:p>
      <w:pPr>
        <w:pStyle w:val="ListBullet"/>
      </w:pPr>
      <w:r>
        <w:rPr>
          <w:rFonts w:ascii="Calibri" w:hAnsi="Calibri"/>
          <w:sz w:val="22"/>
        </w:rPr>
        <w:t>Fuente regulatoria privada sin convenio: mostrar pendiente, no live</w:t>
      </w:r>
    </w:p>
    <w:p>
      <w:pPr>
        <w:pStyle w:val="ListBullet"/>
      </w:pPr>
      <w:r>
        <w:rPr>
          <w:rFonts w:ascii="Calibri" w:hAnsi="Calibri"/>
          <w:sz w:val="22"/>
        </w:rPr>
        <w:t>Otorgante sin autorizacion: denegar acceso</w:t>
      </w:r>
    </w:p>
    <w:p>
      <w:pPr>
        <w:pStyle w:val="ListBullet"/>
      </w:pPr>
      <w:r>
        <w:rPr>
          <w:rFonts w:ascii="Calibri" w:hAnsi="Calibri"/>
          <w:sz w:val="22"/>
        </w:rPr>
        <w:t>Correo con evidencia sensible: bloquear envio por defecto</w:t>
      </w:r>
    </w:p>
    <w:p>
      <w:pPr>
        <w:pStyle w:val="Heading1"/>
      </w:pPr>
      <w:r>
        <w:t>12. Resultado por seccion</w:t>
      </w:r>
    </w:p>
    <w:p>
      <w:pPr>
        <w:pStyle w:val="ListBullet"/>
      </w:pPr>
      <w:r>
        <w:rPr>
          <w:rFonts w:ascii="Calibri" w:hAnsi="Calibri"/>
          <w:sz w:val="22"/>
        </w:rPr>
        <w:t>Pagina publica: entendimiento comercial</w:t>
      </w:r>
    </w:p>
    <w:p>
      <w:pPr>
        <w:pStyle w:val="ListBullet"/>
      </w:pPr>
      <w:r>
        <w:rPr>
          <w:rFonts w:ascii="Calibri" w:hAnsi="Calibri"/>
          <w:sz w:val="22"/>
        </w:rPr>
        <w:t>Solicitante: expediente preparado</w:t>
      </w:r>
    </w:p>
    <w:p>
      <w:pPr>
        <w:pStyle w:val="ListBullet"/>
      </w:pPr>
      <w:r>
        <w:rPr>
          <w:rFonts w:ascii="Calibri" w:hAnsi="Calibri"/>
          <w:sz w:val="22"/>
        </w:rPr>
        <w:t>Documentos: evidencia clasificada</w:t>
      </w:r>
    </w:p>
    <w:p>
      <w:pPr>
        <w:pStyle w:val="ListBullet"/>
      </w:pPr>
      <w:r>
        <w:rPr>
          <w:rFonts w:ascii="Calibri" w:hAnsi="Calibri"/>
          <w:sz w:val="22"/>
        </w:rPr>
        <w:t>Readiness: brechas visibles</w:t>
      </w:r>
    </w:p>
    <w:p>
      <w:pPr>
        <w:pStyle w:val="ListBullet"/>
      </w:pPr>
      <w:r>
        <w:rPr>
          <w:rFonts w:ascii="Calibri" w:hAnsi="Calibri"/>
          <w:sz w:val="22"/>
        </w:rPr>
        <w:t>Otorgante: paquete de decision no vinculante</w:t>
      </w:r>
    </w:p>
    <w:p>
      <w:pPr>
        <w:pStyle w:val="ListBullet"/>
      </w:pPr>
      <w:r>
        <w:rPr>
          <w:rFonts w:ascii="Calibri" w:hAnsi="Calibri"/>
          <w:sz w:val="22"/>
        </w:rPr>
        <w:t>Case management: seguimiento y SLA</w:t>
      </w:r>
    </w:p>
    <w:p>
      <w:pPr>
        <w:pStyle w:val="ListBullet"/>
      </w:pPr>
      <w:r>
        <w:rPr>
          <w:rFonts w:ascii="Calibri" w:hAnsi="Calibri"/>
          <w:sz w:val="22"/>
        </w:rPr>
        <w:t>Jurisdiccion: contexto pais/ciudad trazable</w:t>
      </w:r>
    </w:p>
    <w:p>
      <w:pPr>
        <w:pStyle w:val="ListBullet"/>
      </w:pPr>
      <w:r>
        <w:rPr>
          <w:rFonts w:ascii="Calibri" w:hAnsi="Calibri"/>
          <w:sz w:val="22"/>
        </w:rPr>
        <w:t>Admin: control operativo</w:t>
      </w:r>
    </w:p>
    <w:p>
      <w:pPr>
        <w:pStyle w:val="ListBullet"/>
      </w:pPr>
      <w:r>
        <w:rPr>
          <w:rFonts w:ascii="Calibri" w:hAnsi="Calibri"/>
          <w:sz w:val="22"/>
        </w:rPr>
        <w:t>Agente: asistencia limitada por contexto</w:t>
      </w:r>
    </w:p>
    <w:p>
      <w:pPr>
        <w:pStyle w:val="ListBullet"/>
      </w:pPr>
      <w:r>
        <w:rPr>
          <w:rFonts w:ascii="Calibri" w:hAnsi="Calibri"/>
          <w:sz w:val="22"/>
        </w:rPr>
        <w:t>Notificaciones: movimiento operativo sin exponer evidencia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7"/>
      </w:rPr>
      <w:t>NUXERA Financial Intelligence - Espanol - 2026-07-29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