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 · INTERNAL</w:t>
      </w:r>
    </w:p>
    <w:p>
      <w:pPr>
        <w:pStyle w:val="Normal"/>
        <w:pBdr>
          <w:bottom w:val="single" w:sz="12" w:space="8" w:color="2E7D6B"/>
        </w:pBdr>
        <w:spacing w:before="0" w:after="200"/>
        <w:rPr/>
      </w:pPr>
      <w:r>
        <w:rPr>
          <w:rFonts w:eastAsia="Calibri" w:cs="Calibri"/>
          <w:b/>
          <w:bCs/>
          <w:color w:val="1F4E5F"/>
          <w:sz w:val="52"/>
          <w:szCs w:val="52"/>
        </w:rPr>
        <w:t>Catatan untuk Konsultan Hukum</w:t>
      </w:r>
    </w:p>
    <w:p>
      <w:pPr>
        <w:pStyle w:val="Normal"/>
        <w:spacing w:before="0" w:after="600"/>
        <w:rPr/>
      </w:pPr>
      <w:r>
        <w:rPr>
          <w:rFonts w:eastAsia="Calibri" w:cs="Calibri"/>
          <w:color w:val="2E7D6B"/>
          <w:sz w:val="28"/>
          <w:szCs w:val="28"/>
        </w:rPr>
        <w:t>Pendamping draf Rencana Pemasaran, Kode Etik, serta Syarat dan Ketentuan Mitrans-Astra</w:t>
      </w:r>
    </w:p>
    <w:p>
      <w:pPr>
        <w:pStyle w:val="Normal"/>
        <w:spacing w:before="0" w:after="80"/>
        <w:rPr/>
      </w:pPr>
      <w:r>
        <w:rPr>
          <w:color w:val="5F6B73"/>
          <w:sz w:val="22"/>
          <w:szCs w:val="22"/>
        </w:rPr>
        <w:t>Untuk Coach Doddy dan konsultan hukum</w:t>
      </w:r>
    </w:p>
    <w:p>
      <w:pPr>
        <w:pStyle w:val="Normal"/>
        <w:spacing w:before="0" w:after="80"/>
        <w:rPr/>
      </w:pPr>
      <w:r>
        <w:rPr>
          <w:color w:val="5F6B73"/>
          <w:sz w:val="22"/>
          <w:szCs w:val="22"/>
        </w:rPr>
        <w:t>Versi 1.2 · 27 Oktober 2026</w:t>
      </w:r>
    </w:p>
    <w:p>
      <w:pPr>
        <w:pStyle w:val="Normal"/>
        <w:spacing w:before="1600" w:after="80"/>
        <w:rPr/>
      </w:pPr>
      <w:r>
        <w:rPr>
          <w:rFonts w:eastAsia="Calibri" w:cs="Calibri"/>
          <w:b/>
          <w:bCs/>
          <w:color w:val="A0522D"/>
          <w:sz w:val="20"/>
          <w:szCs w:val="20"/>
        </w:rPr>
        <w:t>INTERNAL: tidak untuk diajukan ke instansi atau ditayangkan di situs</w:t>
      </w:r>
    </w:p>
    <w:p>
      <w:pPr>
        <w:pStyle w:val="Normal"/>
        <w:rPr/>
      </w:pPr>
      <w:r>
        <w:rPr/>
      </w:r>
      <w:r>
        <w:br w:type="page"/>
      </w:r>
    </w:p>
    <w:p>
      <w:pPr>
        <w:pStyle w:val="Heading1"/>
        <w:spacing w:before="0" w:after="200"/>
        <w:rPr/>
      </w:pPr>
      <w:r>
        <w:rPr/>
        <w:t>Ringkasan</w:t>
      </w:r>
    </w:p>
    <w:p>
      <w:pPr>
        <w:pStyle w:val="Normal"/>
        <w:spacing w:before="0" w:after="120"/>
        <w:rPr/>
      </w:pPr>
      <w:r>
        <w:rPr/>
        <w:t>Memo internal ini menyertai tiga dokumen draf:</w:t>
      </w:r>
    </w:p>
    <w:p>
      <w:pPr>
        <w:pStyle w:val="ListParagraph"/>
        <w:numPr>
          <w:ilvl w:val="0"/>
          <w:numId w:val="5"/>
        </w:numPr>
        <w:spacing w:before="0" w:after="60"/>
        <w:rPr/>
      </w:pPr>
      <w:r>
        <w:rPr/>
        <w:t>Rencana Pemasaran Mitrans-Astra v1.3;</w:t>
      </w:r>
    </w:p>
    <w:p>
      <w:pPr>
        <w:pStyle w:val="ListParagraph"/>
        <w:numPr>
          <w:ilvl w:val="0"/>
          <w:numId w:val="1"/>
        </w:numPr>
        <w:spacing w:before="0" w:after="60"/>
        <w:rPr/>
      </w:pPr>
      <w:r>
        <w:rPr/>
        <w:t>Kode Etik Mitra PLS Mitrans-Astra v1.3;</w:t>
      </w:r>
    </w:p>
    <w:p>
      <w:pPr>
        <w:pStyle w:val="ListParagraph"/>
        <w:numPr>
          <w:ilvl w:val="0"/>
          <w:numId w:val="1"/>
        </w:numPr>
        <w:spacing w:before="0" w:after="60"/>
        <w:rPr/>
      </w:pPr>
      <w:r>
        <w:rPr/>
        <w:t>Syarat dan Ketentuan mitrans.id v1.3.</w:t>
      </w:r>
    </w:p>
    <w:p>
      <w:pPr>
        <w:pStyle w:val="Normal"/>
        <w:spacing w:before="0" w:after="120"/>
        <w:rPr/>
      </w:pPr>
      <w:r>
        <w:rPr/>
        <w:t>Isinya dibagi lima:</w:t>
      </w:r>
    </w:p>
    <w:p>
      <w:pPr>
        <w:pStyle w:val="ListParagraph"/>
        <w:numPr>
          <w:ilvl w:val="0"/>
          <w:numId w:val="1"/>
        </w:numPr>
        <w:spacing w:before="0" w:after="60"/>
        <w:rPr/>
      </w:pPr>
      <w:r>
        <w:rPr/>
        <w:t xml:space="preserve">Bagian 1: hal yang </w:t>
      </w:r>
      <w:r>
        <w:rPr>
          <w:b/>
          <w:bCs/>
        </w:rPr>
        <w:t>berpotensi bertentangan dengan peraturan</w:t>
      </w:r>
      <w:r>
        <w:rPr/>
        <w:t xml:space="preserve"> dan harus diputuskan bersama konsultan hukum sebelum pengajuan izin;</w:t>
      </w:r>
    </w:p>
    <w:p>
      <w:pPr>
        <w:pStyle w:val="ListParagraph"/>
        <w:numPr>
          <w:ilvl w:val="0"/>
          <w:numId w:val="1"/>
        </w:numPr>
        <w:spacing w:before="0" w:after="60"/>
        <w:rPr/>
      </w:pPr>
      <w:r>
        <w:rPr/>
        <w:t xml:space="preserve">Bagian 2: ketentuan </w:t>
      </w:r>
      <w:r>
        <w:rPr>
          <w:b/>
          <w:bCs/>
        </w:rPr>
        <w:t>baru</w:t>
      </w:r>
      <w:r>
        <w:rPr/>
        <w:t xml:space="preserve"> yang ditambahkan agar dokumen memenuhi isi wajib Permendag 70/2019, dan perlu dikonfirmasi Coach;</w:t>
      </w:r>
    </w:p>
    <w:p>
      <w:pPr>
        <w:pStyle w:val="ListParagraph"/>
        <w:numPr>
          <w:ilvl w:val="0"/>
          <w:numId w:val="1"/>
        </w:numPr>
        <w:spacing w:before="0" w:after="60"/>
        <w:rPr/>
      </w:pPr>
      <w:r>
        <w:rPr/>
        <w:t>Bagian 2A: perubahan v1.1 yang sudah diputuskan Coach pada 27 Oktober 2026;</w:t>
      </w:r>
    </w:p>
    <w:p>
      <w:pPr>
        <w:pStyle w:val="ListParagraph"/>
        <w:numPr>
          <w:ilvl w:val="0"/>
          <w:numId w:val="1"/>
        </w:numPr>
        <w:spacing w:before="0" w:after="60"/>
        <w:rPr/>
      </w:pPr>
      <w:r>
        <w:rPr/>
        <w:t>Bagian 2B: keputusan aturan sistem v1.3 (A1–A13) yang sudah diputuskan Coach pada 27 Oktober 2026, beserta butir yang perlu dinilai konsultan hukum;</w:t>
      </w:r>
    </w:p>
    <w:p>
      <w:pPr>
        <w:pStyle w:val="ListParagraph"/>
        <w:numPr>
          <w:ilvl w:val="0"/>
          <w:numId w:val="1"/>
        </w:numPr>
        <w:spacing w:before="0" w:after="60"/>
        <w:rPr/>
      </w:pPr>
      <w:r>
        <w:rPr/>
        <w:t>Bagian 3: data yang perlu dilengkapi (ditandai [●] di dokumen).</w:t>
      </w:r>
    </w:p>
    <w:p>
      <w:pPr>
        <w:pStyle w:val="Normal"/>
        <w:spacing w:before="0" w:after="120"/>
        <w:rPr/>
      </w:pPr>
      <w:r>
        <w:rPr/>
        <w:t>Memo ini tidak untuk diajukan ke instansi atau ditayangkan di situs. Saya bukan konsultan hukum. Memo ini adalah daftar periksa, bukan pendapat hukum.</w:t>
      </w:r>
    </w:p>
    <w:p>
      <w:pPr>
        <w:pStyle w:val="Heading2"/>
        <w:rPr/>
      </w:pPr>
      <w:r>
        <w:rPr/>
        <w:t>1. Hal yang berpotensi bertentangan dengan peraturan</w:t>
      </w:r>
    </w:p>
    <w:tbl>
      <w:tblPr>
        <w:tblW w:w="9306" w:type="dxa"/>
        <w:jc w:val="left"/>
        <w:tblInd w:w="0" w:type="dxa"/>
        <w:tblLayout w:type="fixed"/>
        <w:tblCellMar>
          <w:top w:w="60" w:type="dxa"/>
          <w:left w:w="90" w:type="dxa"/>
          <w:bottom w:w="60" w:type="dxa"/>
          <w:right w:w="90" w:type="dxa"/>
        </w:tblCellMar>
      </w:tblPr>
      <w:tblGrid>
        <w:gridCol w:w="558"/>
        <w:gridCol w:w="1395"/>
        <w:gridCol w:w="2046"/>
        <w:gridCol w:w="2420"/>
        <w:gridCol w:w="2887"/>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139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Hal</w:t>
            </w:r>
          </w:p>
        </w:tc>
        <w:tc>
          <w:tcPr>
            <w:tcW w:w="204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Dasar</w:t>
            </w:r>
          </w:p>
        </w:tc>
        <w:tc>
          <w:tcPr>
            <w:tcW w:w="242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Keadaan di dokumen</w:t>
            </w:r>
          </w:p>
        </w:tc>
        <w:tc>
          <w:tcPr>
            <w:tcW w:w="288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Saran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Plafon komisi dan bonus</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17: paling banyak 40% dari omzet Perusahaan</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A 50% omzet bersih Lisensi; Plan B 40% omzet bersih Langganan, sesuai keputusan Coach</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Bila 40% berlaku, ubah plafon Plan A ke 40%. Nominal bonus tidak perlu diubah: dalam uji 5 tahun, Plan A dibayar 31,1–31,8%. Hanya jaringan yang hampir ideal (47%) yang akan dipotong prorata Catatan v1.2: uji ulang dengan engine perhitungan menghasilkan Plan A 25,0–29,2%. Dengan plafon 40%, faktor plafon bonus tim tetap tidak pernah dipakai (lihat butir 15 dan Rencana Pemasaran 12.3).</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Larangan jasa</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m dan Pasal 29; PP 3/2026 Pasal 54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Produk dirumuskan sebagai lisensi perangkat lunak (barang tidak berwujud)</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Minta pendapat hukum tertulis apakah lisensi dan langganan platform ini barang atau jasa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Barang yang tidak dapat dipindahtangankan</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PP 3/2026 Pasal 54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dapat dialihkan lewat aplikasi (Syarat dan Ketentuan Pasal 9)</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fitur pengalihan cukup</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Larangan mewajibkan pembelian saat pendaftaran atau untuk peringkat</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Pendaftaran gratis tanpa kewajiban membeli. Posisi jaringan diberikan saat Mitra mengaktifkan Lisensi pertamanya. Mulai bulan ke-4, bonus pemegang Lisensi cair bila Langganannya aktif Versi 1.3: Bonus Sponsor dan Bonus Layanan Berkah selalu dibayar tanpa syarat Langganan (keputusan A4). Syarat Langganan mulai bulan ke-4 tinggal untuk Bonus Level, Pasangan, dan Pembinaan.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apakah dua ketentuan ini dapat dinilai sebagai kewajiban membeli. Bila ya, saran saya: Bonus Sponsor dan Layanan Berkah selalu dibayar kepada penjual tanpa syarat Langganan, dan syarat Langganan hanya untuk bonus jaringan Saran ini sudah diterapkan di v1.3. Mohon konsultan menilai apakah syarat Langganan untuk bonus jaringan saja masih dapat dinilai sebagai kewajiban membeli.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Akun struktural Mitrans 001–003</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i (perusahaan tidak boleh menjual langsung tanpa jaringan)</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Akun dipegang Perusahaan, tidak aktif, dan bagiannya tidak dibayarkan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bentuk yang sah untuk penjualan Lisensi kepada empat pemimpin pertama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Izin edar atau standar mutu</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13 huruf m dan Pasal 8 ayat (1)</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Diisi dengan Tanda Daftar PSE, pendaftaran merek, dan pencatatan hak cipta</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dokumen yang diterima sebagai pengganti izin edar untuk perangkat lunak</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7</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Hak distribusi eksklusif</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5 huruf a; PP 3/2026 Pasal 44–45A</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Dasar diisi [●]</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Siapkan bukti kepemilikan merek dan hak cipta, atau perjanjian distribusi eksklusif</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8</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Merek "Mitrans-Astra"</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"Astra" merek terkenal milik PT Astra International Tbk</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Dipakai di semua dokumen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Cek PDKI sebelum pengajuan. Bila berisiko, ganti nama sebelum dokumen diverifikasi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9</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Produk investasi</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PP 3/2026 Pasal 54; OJK Peraturan V.C.1</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Ditegaskan sebagai alat analisis dan edukasi, tanpa sinyal beli/jual</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batas fitur yang aman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Verifikasi asosiasi</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(3) dan Pasal 9 ayat (4)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Belum</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dan Kode Etik perlu diverifikasi asosiasi penjualan langsung sebelum pengajuan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11</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Pelaporan tahunan</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22</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Dicantumkan sebagai kewajiban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Tetapkan penanggung jawab dan tanggal pelaporan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12</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E-book Ylive Academy di dalam funnel</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l; UU 27/2022</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membagikan tautan e-book Ylive Academy tanpa komisi. Data pembeli e-book diteruskan ke PT MITRANS dengan izin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kegiatan ini tidak dinilai sebagai penjualan barang di luar Program Pemasaran, dan bentuk perjanjian berbagi data yang memadai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13</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Workshop pelatihan gratis</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m; PP 3/2026 Pasal 54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Workshop 2 hari setiap bulan bagi pemegang Lisensi, tanpa biaya, dan disebut dalam penawaran di webinar</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menyebut workshop dalam penawaran tidak membuat Lisensi dinilai mengandung jasa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14</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Batas 60 hari konversi Lisensi</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 yang menjadi Mitra dalam 60 hari mendapat posisi jaringan dari Lisensinya. Sesudah itu, posisi hanya dari Lisensi berikutnya</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apakah batas ini dapat dinilai mewajibkan pembelian bagi yang mendaftar sesudah 60 hari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15</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Hasil uji internal (Rencana Pemasaran Bab 12.3)</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(1): simulasi perhitungan komisi dan bonus</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 v1.3, tabel Bab 12.3 sudah diganti dengan hasil uji ulang engine yang menjalankan aturan v1.3: Plan A 25,0–29,2% dan Plan B 13,1–35,2% (hasil lama: Plan A 26,5–46,9%, Plan B 26,6–36,7%). Asumsi pengujian ditulis lengkap. Selisih terbesar karena banyak Mitra PLS tidak aktif setiap bulan, sehingga bonus timnya ditahan lalu masuk Pool Aktif</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Mohon konsultan dan asosiasi menilai apakah asumsi pengujian sudah memadai. Hasil ini sudah memakai syarat aktif 1 penjualan per bulan (A13). Angka di tabel tidak boleh terbaca sebagai proyeksi penghasilan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16</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Rumus batas atas biaya Langganan</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12.2</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Tertulis 38% (20% + 5 × 3% + 3%). Komisi Langganan Rp70.000 adalah 20% dari PV (Rp350.000), sedangkan omzet bersih Rp359.459, sehingga batas sebenarnya 37,47%</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Selaraskan teks rumus. Dampaknya kecil, tetapi angka dalam dokumen izin sebaiknya tepat</w:t>
            </w:r>
          </w:p>
        </w:tc>
      </w:tr>
    </w:tbl>
    <w:p>
      <w:pPr>
        <w:pStyle w:val="Normal"/>
        <w:spacing w:before="0" w:after="120"/>
        <w:rPr/>
      </w:pPr>
      <w:r>
        <w:rPr/>
      </w:r>
    </w:p>
    <w:p>
      <w:pPr>
        <w:pStyle w:val="Heading2"/>
        <w:rPr/>
      </w:pPr>
      <w:r>
        <w:rPr/>
        <w:t>2. Ketentuan baru yang perlu dikonfirmasi Coach</w:t>
      </w:r>
    </w:p>
    <w:p>
      <w:pPr>
        <w:pStyle w:val="Normal"/>
        <w:spacing w:before="0" w:after="120"/>
        <w:rPr/>
      </w:pPr>
      <w:r>
        <w:rPr/>
        <w:t>Ketentuan berikut belum pernah diputuskan di Rencana Pemasaran v1.0. Saya menambahkannya karena Permendag 70/2019 Pasal 9 ayat (2) dan Pasal 13 mewajibkan isinya ada.</w:t>
      </w:r>
    </w:p>
    <w:tbl>
      <w:tblPr>
        <w:tblW w:w="9306" w:type="dxa"/>
        <w:jc w:val="left"/>
        <w:tblInd w:w="0" w:type="dxa"/>
        <w:tblLayout w:type="fixed"/>
        <w:tblCellMar>
          <w:top w:w="60" w:type="dxa"/>
          <w:left w:w="90" w:type="dxa"/>
          <w:bottom w:w="60" w:type="dxa"/>
          <w:right w:w="90" w:type="dxa"/>
        </w:tblCellMar>
      </w:tblPr>
      <w:tblGrid>
        <w:gridCol w:w="593"/>
        <w:gridCol w:w="1981"/>
        <w:gridCol w:w="4949"/>
        <w:gridCol w:w="1782"/>
      </w:tblGrid>
      <w:tr>
        <w:trPr>
          <w:tblHeader w:val="true"/>
          <w:cantSplit w:val="true"/>
        </w:trPr>
        <w:tc>
          <w:tcPr>
            <w:tcW w:w="59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198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Ketentuan</w:t>
            </w:r>
          </w:p>
        </w:tc>
        <w:tc>
          <w:tcPr>
            <w:tcW w:w="494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 di draf</w:t>
            </w:r>
          </w:p>
        </w:tc>
        <w:tc>
          <w:tcPr>
            <w:tcW w:w="17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tanpa Lisensi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Boleh menjual dan menerima Bonus Sponsor serta Layanan Berkah. Posisi jaringan baru diberikan saat Lisensi pertama diaktifkan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Pengembalian dana dalam masa pertimbangan 10 hari kerja</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 bila Lisensi belum diaktifkan. Bila sudah diaktifkan, dikurangi nilai akses yang dipakai, dihitung harian dari Rp399.000 per bulan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5</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Pembelian kembali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yang belum diaktifkan dan masih dapat dialihkan dibeli kembali seharga pembelian dikurangi biaya administrasi paling banyak 10% dan komisi yang sudah diterima. Dibayar dalam 14 hari kerja</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15</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Pengalihan Lisensi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Lewat aplikasi; tidak menimbulkan bonus baru; biaya [●]</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9</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Masa berlaku keanggotaan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tahun, diperpanjang gratis dengan konfirmasi data. Bila terlambat lebih dari 60 hari, pembayaran bonus ditunda, tetapi hak tidak hilang</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6</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Pengalihan keanggotaan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Kepada ahli waris (diajukan dalam 12 bulan), atau kepada suami/istri atau keluarga sedarah satu derajat sekali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8</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7</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Kompensasi gangguan layanan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Gangguan lebih dari 24 jam karena Perusahaan diganti dengan perpanjangan akses</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14; Syarat dan Ketentuan Pasal 13</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8</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Tata cara sanksi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diberi 14 hari untuk menjelaskan dan 1 kali keberatan. Pelanggaran berat dapat langsung diputus</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20–21</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9</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Forum sengketa</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Musyawarah, lalu mediasi asosiasi, lalu [BASYARNAS atau Pengadilan Negeri ●]. Pelanggan tetap berhak ke BPSK</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22–23</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Waktu layanan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Pengaduan ditanggapi dalam 3 hari kerja dan diselesaikan dalam 14 hari kerja; pengembalian dana dalam 14 hari kerja; keberatan bonus diajukan dalam 30 hari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Syarat dan Ketentuan</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11</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Data yang terlihat oleh upline</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peringkat, status aktif, dan volume. Telepon hanya untuk Sponsor langsung, dengan persetujuan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23</w:t>
            </w:r>
          </w:p>
        </w:tc>
      </w:tr>
    </w:tbl>
    <w:p>
      <w:pPr>
        <w:pStyle w:val="Normal"/>
        <w:spacing w:before="0" w:after="120"/>
        <w:rPr/>
      </w:pPr>
      <w:r>
        <w:rPr/>
      </w:r>
    </w:p>
    <w:p>
      <w:pPr>
        <w:pStyle w:val="Heading2"/>
        <w:rPr/>
      </w:pPr>
      <w:r>
        <w:rPr/>
        <w:t>2A. Perubahan v1.1 atas keputusan Coach (27 Oktober 2026)</w:t>
      </w:r>
    </w:p>
    <w:tbl>
      <w:tblPr>
        <w:tblW w:w="9306" w:type="dxa"/>
        <w:jc w:val="left"/>
        <w:tblInd w:w="0" w:type="dxa"/>
        <w:tblLayout w:type="fixed"/>
        <w:tblCellMar>
          <w:top w:w="60" w:type="dxa"/>
          <w:left w:w="90" w:type="dxa"/>
          <w:bottom w:w="60" w:type="dxa"/>
          <w:right w:w="90" w:type="dxa"/>
        </w:tblCellMar>
      </w:tblPr>
      <w:tblGrid>
        <w:gridCol w:w="558"/>
        <w:gridCol w:w="5583"/>
        <w:gridCol w:w="3165"/>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558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Perubahan</w:t>
            </w:r>
          </w:p>
        </w:tc>
        <w:tc>
          <w:tcPr>
            <w:tcW w:w="316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Istilah resmi "Mitra" menjadi "Mitra PLS" (Mitra Marketing Penggerak Literasi Syariah)</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Ketiga dokumen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Lisensi Pelanggan menjadi Lisensi Mitra PLS dalam 60 hari, tanpa Bonus Sponsor kedua dan tanpa volume ganda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5.5; Syarat dan Ketentuan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 tetap dibayar atas Lisensi yang dikonversi; batas atas biaya bonus per Lisensi menjadi 49,7%</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8.1 dan 12.2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Pendampingan orientasi oleh Mitra penjual dalam 7 hari; workshop pelatihan bulanan tanpa biaya dan kelas daring pengganti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7 dan 13; Kode Etik Pasal 13</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Tautan rujukan aktif setelah lulus kuis Kode Etik, tanpa biaya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6; Kode Etik Pasal 4; Syarat dan Ketentuan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Data pembeli e-book dari Ylive Academy, dengan izin dan perjanjian berbagi data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11</w:t>
            </w:r>
          </w:p>
        </w:tc>
      </w:tr>
    </w:tbl>
    <w:p>
      <w:pPr>
        <w:pStyle w:val="Normal"/>
        <w:spacing w:before="0" w:after="120"/>
        <w:rPr/>
      </w:pPr>
      <w:r>
        <w:rPr/>
      </w:r>
    </w:p>
    <w:p>
      <w:pPr>
        <w:pStyle w:val="Heading2"/>
        <w:rPr/>
      </w:pPr>
      <w:r>
        <w:rPr/>
        <w:t>2B. Keputusan aturan sistem v1.3 (27 Oktober 2026)</w:t>
      </w:r>
    </w:p>
    <w:p>
      <w:pPr>
        <w:pStyle w:val="Normal"/>
        <w:spacing w:before="0" w:after="120"/>
        <w:rPr/>
      </w:pPr>
      <w:r>
        <w:rPr/>
        <w:t>Butir A1–A12 tidak diatur Rencana Pemasaran v1.0–v1.2; butir A13 mengubah syarat aktif. Coach memutuskannya saat sistem perhitungan dirancang dan diuji, dan semuanya sudah dicantumkan di dokumen v1.3. Butir bertanda "Perlu dinilai" mohon diberi pendapat konsultan hukum.</w:t>
      </w:r>
    </w:p>
    <w:tbl>
      <w:tblPr>
        <w:tblW w:w="9306" w:type="dxa"/>
        <w:jc w:val="left"/>
        <w:tblInd w:w="0" w:type="dxa"/>
        <w:tblLayout w:type="fixed"/>
        <w:tblCellMar>
          <w:top w:w="60" w:type="dxa"/>
          <w:left w:w="90" w:type="dxa"/>
          <w:bottom w:w="60" w:type="dxa"/>
          <w:right w:w="90" w:type="dxa"/>
        </w:tblCellMar>
      </w:tblPr>
      <w:tblGrid>
        <w:gridCol w:w="558"/>
        <w:gridCol w:w="5583"/>
        <w:gridCol w:w="3165"/>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558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Keputusan</w:t>
            </w:r>
          </w:p>
        </w:tc>
        <w:tc>
          <w:tcPr>
            <w:tcW w:w="316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Penempatan posisi otomatis: kaki Sponsor yang Lisensinya lebih sedikit, di ujung terluar; bila sama, kaki kiri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4; Kode Etik Pasal 10; S&amp;K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Sponsor tanpa Lisensi: posisi Mitra PLS baru di bawah posisi terdekat pada garis Sponsor</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 S&amp;K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Lisensi Pelanggan dari penjual tanpa Lisensi dicatat di posisi terdekat pada garis Sponsor</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dan Bonus Layanan Berkah selalu dibayar tanpa syarat Langganan.</w:t>
            </w:r>
          </w:p>
          <w:p>
            <w:pPr>
              <w:pStyle w:val="Normal"/>
              <w:spacing w:before="0" w:after="0"/>
              <w:jc w:val="left"/>
              <w:rPr/>
            </w:pPr>
            <w:r>
              <w:rPr>
                <w:sz w:val="19"/>
                <w:szCs w:val="19"/>
              </w:rPr>
              <w:t>Perlu dinilai: lihat butir 4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 masa akses 3 bulan Lisensi dihitung sebagai Langganan aktif</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upline di antara posisi baru dan Sponsor ikut menghitung; setiap Lisensi dihitung sekali per upline</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5.5</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A7</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Pembinaan tanpa kompresi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8.1</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A8</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Antrean Bonus Prestasi dengan urutan ketat</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A9</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Kelebihan Plan B dan sisa Royalti RO tetap pada Perusahaan; Pool Aktif hanya dari Plan 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8.6</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A10</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tim: uang muka 80% setiap Jumat, sisa 20% setelah tutup bulan; kelebihan uang muka dipotong dari pembayaran berikutnya.</w:t>
            </w:r>
          </w:p>
          <w:p>
            <w:pPr>
              <w:pStyle w:val="Normal"/>
              <w:spacing w:before="0" w:after="0"/>
              <w:jc w:val="left"/>
              <w:rPr/>
            </w:pPr>
            <w:r>
              <w:rPr>
                <w:sz w:val="19"/>
                <w:szCs w:val="19"/>
              </w:rPr>
              <w:t>Perlu dinilai: dasar pemotongan pembayaran berikutnya dalam perjanjian kemitraan</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11 dan 12.2; Kode Etik Pasal 11; S&amp;K Pasal 21</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 di atas plafon Plan A dibawa ke bulan berikutnya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8.4</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Pembatalan menarik otomatis semua bonus dari Lisensi itu, termasuk bonus tim upline.</w:t>
            </w:r>
          </w:p>
          <w:p>
            <w:pPr>
              <w:pStyle w:val="Normal"/>
              <w:spacing w:before="0" w:after="0"/>
              <w:jc w:val="left"/>
              <w:rPr/>
            </w:pPr>
            <w:r>
              <w:rPr>
                <w:sz w:val="19"/>
                <w:szCs w:val="19"/>
              </w:rPr>
              <w:t>Perlu dinilai: penarikan bonus dari upline yang tidak menyebabkan pembatalan, dan cara pemotongannya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13; Kode Etik Pasal 5; S&amp;K Pasal 7</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aktif menjadi paling sedikit 1 penjualan baru pribadi per bulan (v1.2: 2). Dibanding 2 penjualan, Plan A hampir sama (25,0–29,2%), Plan B naik (8,9–12,0% menjadi 13,1–14,2%), dan bonus tim lebih banyak dibayar kepada pembina jaringan daripada masuk Pool Aktif.</w:t>
            </w:r>
          </w:p>
          <w:p>
            <w:pPr>
              <w:pStyle w:val="Normal"/>
              <w:spacing w:before="0" w:after="0"/>
              <w:jc w:val="left"/>
              <w:rPr/>
            </w:pPr>
            <w:r>
              <w:rPr>
                <w:sz w:val="19"/>
                <w:szCs w:val="19"/>
              </w:rPr>
              <w:t>Perlu dinilai: status aktif lebih mudah dicapai lewat pembelian oleh akun yang dikendalikan sendiri; deteksi akun dan sanksi Kode Etik Pasal 18 angka 12 perlu diperkuat</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9.1, 10.2, Lampiran A</w:t>
            </w:r>
          </w:p>
        </w:tc>
      </w:tr>
    </w:tbl>
    <w:p>
      <w:pPr>
        <w:pStyle w:val="Heading2"/>
        <w:rPr/>
      </w:pPr>
      <w:r>
        <w:rPr/>
        <w:t>3. Data yang perlu dilengkapi</w:t>
      </w:r>
    </w:p>
    <w:p>
      <w:pPr>
        <w:pStyle w:val="ListParagraph"/>
        <w:numPr>
          <w:ilvl w:val="0"/>
          <w:numId w:val="6"/>
        </w:numPr>
        <w:spacing w:before="0" w:after="60"/>
        <w:rPr/>
      </w:pPr>
      <w:r>
        <w:rPr/>
        <w:t>Nama lengkap PT sesuai akta, nomor akta, dan pengesahan Kementerian Hukum.</w:t>
      </w:r>
    </w:p>
    <w:p>
      <w:pPr>
        <w:pStyle w:val="ListParagraph"/>
        <w:numPr>
          <w:ilvl w:val="0"/>
          <w:numId w:val="2"/>
        </w:numPr>
        <w:spacing w:before="0" w:after="60"/>
        <w:rPr/>
      </w:pPr>
      <w:r>
        <w:rPr/>
        <w:t>NIB, KBLI, NPWP, dan alamat kantor.</w:t>
      </w:r>
    </w:p>
    <w:p>
      <w:pPr>
        <w:pStyle w:val="ListParagraph"/>
        <w:numPr>
          <w:ilvl w:val="0"/>
          <w:numId w:val="2"/>
        </w:numPr>
        <w:spacing w:before="0" w:after="60"/>
        <w:rPr/>
      </w:pPr>
      <w:r>
        <w:rPr/>
        <w:t>Susunan Direksi, Dewan Komisaris, dan Dewan Pengawas Syariah (bila ada).</w:t>
      </w:r>
    </w:p>
    <w:p>
      <w:pPr>
        <w:pStyle w:val="ListParagraph"/>
        <w:numPr>
          <w:ilvl w:val="0"/>
          <w:numId w:val="2"/>
        </w:numPr>
        <w:spacing w:before="0" w:after="60"/>
        <w:rPr/>
      </w:pPr>
      <w:r>
        <w:rPr/>
        <w:t>Nomor Tanda Daftar PSE, permohonan merek, dan pencatatan hak cipta.</w:t>
      </w:r>
    </w:p>
    <w:p>
      <w:pPr>
        <w:pStyle w:val="ListParagraph"/>
        <w:numPr>
          <w:ilvl w:val="0"/>
          <w:numId w:val="2"/>
        </w:numPr>
        <w:spacing w:before="0" w:after="60"/>
        <w:rPr/>
      </w:pPr>
      <w:r>
        <w:rPr/>
        <w:t>Dasar hak distribusi eksklusif.</w:t>
      </w:r>
    </w:p>
    <w:p>
      <w:pPr>
        <w:pStyle w:val="ListParagraph"/>
        <w:numPr>
          <w:ilvl w:val="0"/>
          <w:numId w:val="2"/>
        </w:numPr>
        <w:spacing w:before="0" w:after="60"/>
        <w:rPr/>
      </w:pPr>
      <w:r>
        <w:rPr/>
        <w:t>Nama asosiasi dan nomor keanggotaan.</w:t>
      </w:r>
    </w:p>
    <w:p>
      <w:pPr>
        <w:pStyle w:val="ListParagraph"/>
        <w:numPr>
          <w:ilvl w:val="0"/>
          <w:numId w:val="2"/>
        </w:numPr>
        <w:spacing w:before="0" w:after="60"/>
        <w:rPr/>
      </w:pPr>
      <w:r>
        <w:rPr/>
        <w:t>Kontak layanan pelanggan, jam layanan, dan surel pelindungan data.</w:t>
      </w:r>
    </w:p>
    <w:p>
      <w:pPr>
        <w:pStyle w:val="ListParagraph"/>
        <w:numPr>
          <w:ilvl w:val="0"/>
          <w:numId w:val="2"/>
        </w:numPr>
        <w:spacing w:before="0" w:after="60"/>
        <w:rPr/>
      </w:pPr>
      <w:r>
        <w:rPr/>
        <w:t>Lama penyimpanan data setelah Langganan berhenti.</w:t>
      </w:r>
    </w:p>
    <w:p>
      <w:pPr>
        <w:pStyle w:val="ListParagraph"/>
        <w:numPr>
          <w:ilvl w:val="0"/>
          <w:numId w:val="2"/>
        </w:numPr>
        <w:spacing w:before="0" w:after="60"/>
        <w:rPr/>
      </w:pPr>
      <w:r>
        <w:rPr/>
        <w:t>Biaya pengalihan Lisensi.</w:t>
      </w:r>
    </w:p>
    <w:p>
      <w:pPr>
        <w:pStyle w:val="ListParagraph"/>
        <w:numPr>
          <w:ilvl w:val="0"/>
          <w:numId w:val="2"/>
        </w:numPr>
        <w:spacing w:before="0" w:after="60"/>
        <w:rPr/>
      </w:pPr>
      <w:r>
        <w:rPr/>
        <w:t>Forum penyelesaian sengketa.</w:t>
      </w:r>
    </w:p>
    <w:p>
      <w:pPr>
        <w:pStyle w:val="ListParagraph"/>
        <w:numPr>
          <w:ilvl w:val="0"/>
          <w:numId w:val="2"/>
        </w:numPr>
        <w:spacing w:before="0" w:after="60"/>
        <w:rPr/>
      </w:pPr>
      <w:r>
        <w:rPr/>
        <w:t>Tanggal berlaku dan penandatangan Kode Etik.</w:t>
      </w:r>
    </w:p>
    <w:p>
      <w:pPr>
        <w:pStyle w:val="ListParagraph"/>
        <w:numPr>
          <w:ilvl w:val="0"/>
          <w:numId w:val="2"/>
        </w:numPr>
        <w:spacing w:before="0" w:after="60"/>
        <w:rPr/>
      </w:pPr>
      <w:r>
        <w:rPr/>
        <w:t>Perjanjian berbagi data antara Ylive Academy dan PT MITRANS.</w:t>
      </w:r>
    </w:p>
    <w:p>
      <w:pPr>
        <w:pStyle w:val="Heading2"/>
        <w:rPr/>
      </w:pPr>
      <w:r>
        <w:rPr/>
        <w:t>4. Langkah berikutnya</w:t>
      </w:r>
    </w:p>
    <w:p>
      <w:pPr>
        <w:pStyle w:val="ListParagraph"/>
        <w:numPr>
          <w:ilvl w:val="0"/>
          <w:numId w:val="7"/>
        </w:numPr>
        <w:spacing w:before="0" w:after="60"/>
        <w:rPr/>
      </w:pPr>
      <w:r>
        <w:rPr/>
        <w:t>Konsultan hukum memutuskan butir 1–9 di Bagian 1.</w:t>
      </w:r>
    </w:p>
    <w:p>
      <w:pPr>
        <w:pStyle w:val="ListParagraph"/>
        <w:numPr>
          <w:ilvl w:val="0"/>
          <w:numId w:val="8"/>
        </w:numPr>
        <w:spacing w:before="0" w:after="60"/>
        <w:rPr/>
      </w:pPr>
      <w:r>
        <w:rPr/>
        <w:t>Coach mengonfirmasi Bagian 2. Keputusan A1–A13 sudah diambil dan dicantumkan di dokumen v1.3 (Bagian 2B).</w:t>
      </w:r>
    </w:p>
    <w:p>
      <w:pPr>
        <w:pStyle w:val="ListParagraph"/>
        <w:numPr>
          <w:ilvl w:val="0"/>
          <w:numId w:val="9"/>
        </w:numPr>
        <w:spacing w:before="0" w:after="60"/>
        <w:rPr/>
      </w:pPr>
      <w:r>
        <w:rPr/>
        <w:t>Tim melengkapi Bagian 3.</w:t>
      </w:r>
    </w:p>
    <w:p>
      <w:pPr>
        <w:pStyle w:val="ListParagraph"/>
        <w:numPr>
          <w:ilvl w:val="0"/>
          <w:numId w:val="10"/>
        </w:numPr>
        <w:spacing w:before="0" w:after="60"/>
        <w:rPr/>
      </w:pPr>
      <w:r>
        <w:rPr/>
        <w:t>Ketiga dokumen diperbarui, lalu diajukan ke asosiasi untuk verifikasi sebelum pengajuan izin melalui sistem OSS.</w:t>
      </w:r>
    </w:p>
    <w:p>
      <w:pPr>
        <w:pStyle w:val="ListParagraph"/>
        <w:numPr>
          <w:ilvl w:val="0"/>
          <w:numId w:val="11"/>
        </w:numPr>
        <w:spacing w:before="0" w:after="60"/>
        <w:rPr/>
      </w:pPr>
      <w:r>
        <w:rPr/>
        <w:t>Konsultan hukum menilai hasil uji ulang dan asumsinya di Rencana Pemasaran Bab 12.3, serta rumus batas atas Langganan (butir 15–16 Bagian 1).</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Internal · 27 Oktober 2026</w:t>
    </w:r>
    <w:r>
      <w:rPr>
        <w:color w:val="5F6B73"/>
        <w:sz w:val="16"/>
        <w:szCs w:val="16"/>
      </w:rPr>
      <w:tab/>
      <w:t xml:space="preserve">Halaman </w:t>
    </w:r>
    <w:r>
      <w:rPr/>
      <w:fldChar w:fldCharType="begin"/>
    </w:r>
    <w:r>
      <w:rPr/>
      <w:instrText xml:space="preserve"> PAGE </w:instrText>
    </w:r>
    <w:r>
      <w:rPr/>
      <w:fldChar w:fldCharType="separate"/>
    </w:r>
    <w:r>
      <w:rPr/>
      <w:t>7</w:t>
    </w:r>
    <w:r>
      <w:rPr/>
      <w:fldChar w:fldCharType="end"/>
    </w:r>
    <w:r>
      <w:rPr>
        <w:color w:val="5F6B73"/>
        <w:sz w:val="16"/>
        <w:szCs w:val="16"/>
      </w:rPr>
      <w:t xml:space="preserve"> dari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Catatan untuk Konsultan Hukum (internal)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800</Words>
  <Characters>4382</Characters>
  <CharactersWithSpaces>5052</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2026-10-27T07:56:07Z</dcterms:created>
  <dc:creator>PT MITRANS</dc:creator>
  <dc:description>Pendamping draf Rencana Pemasaran, Kode Etik, serta Syarat dan Ketentuan Mitrans-Astra</dc:description>
  <dc:language>en-US</dc:language>
  <cp:lastModifiedBy/>
  <dcterms:modified xsi:type="dcterms:W3CDTF">2026-10-27T19:46:10Z</dcterms:modified>
  <cp:revision>2</cp:revision>
  <dc:subject/>
  <dc:title>Catatan untuk Konsultan Hukum</dc:title>
</cp:coreProperties>
</file>