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(A1–A18)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 Hanya bonus yang aman yang dapat dipakai (bukan dari penjualan dalam masa pembatalan 14 hari, setelah piutang penarikan); bila kurang, tombol bayar dari bonus tidak aktif</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A14–A18 (Lisensi tanpa batas waktu, Langganan 30 hari, penghapusan rekening dana layanan, pembayaran Langganan dari bonus, penyelesaian piutang penarikan)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p>
          <w:p>
            <w:pPr>
              <w:pStyle w:val="Normal"/>
              <w:spacing w:before="0" w:after="0"/>
              <w:jc w:val="left"/>
              <w:rPr/>
            </w:pPr>
            <w:r>
              <w:rPr>
                <w:sz w:val="19"/>
                <w:szCs w:val="19"/>
              </w:rPr>
              <w:t>Perlu dinilai: dasar memperhitungkan piutang dengan hak lain (perjumpaan utang, butir 19 Bagian 1), dan perlakuan pajak atas piutang yang dihapus</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A1–A18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9</w:t>
    </w:r>
    <w:r>
      <w:rPr/>
      <w:fldChar w:fldCharType="end"/>
    </w:r>
    <w:r>
      <w:rPr>
        <w:color w:val="5F6B73"/>
        <w:sz w:val="16"/>
        <w:szCs w:val="16"/>
      </w:rPr>
      <w:t xml:space="preserve"> dari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798</Words>
  <Characters>4315</Characters>
  <CharactersWithSpaces>5008</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2026-10-28T05:48:16Z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